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88" w:rsidRPr="00DD6CEC" w:rsidRDefault="00282488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DD6CE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Regulamin obrad </w:t>
      </w:r>
      <w:r w:rsidR="00886E91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Nadzwyczajnego</w:t>
      </w:r>
      <w:r w:rsidRPr="00DD6CE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 Zjazdu Delegatów PTI</w:t>
      </w:r>
    </w:p>
    <w:p w:rsidR="00282488" w:rsidRDefault="00282488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Warszawa, </w:t>
      </w:r>
      <w:r w:rsidR="00886E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6E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</w:t>
      </w: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886E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 2015</w:t>
      </w: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 w:rsidR="00886E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(Hotel Campanilla)</w:t>
      </w:r>
    </w:p>
    <w:p w:rsidR="006A1AC3" w:rsidRPr="00282488" w:rsidRDefault="006A1AC3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732B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Zjazd otwiera </w:t>
      </w:r>
      <w:r w:rsidR="006A1AC3" w:rsidRPr="00C86537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B4123B" w:rsidRPr="00C86537"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ezes PTI i przeprowadza w trybie jawnym wybór prezydium Zjazdu spośród delegatów. W skład prezydium wchodzą:</w:t>
      </w:r>
    </w:p>
    <w:p w:rsidR="0078732B" w:rsidRPr="00C86537" w:rsidRDefault="005407EA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282488" w:rsidRPr="00C86537">
        <w:rPr>
          <w:rFonts w:ascii="Arial" w:eastAsia="Times New Roman" w:hAnsi="Arial" w:cs="Arial"/>
          <w:sz w:val="23"/>
          <w:szCs w:val="23"/>
          <w:lang w:eastAsia="pl-PL"/>
        </w:rPr>
        <w:t>rzewodniczący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(prowadzący obrady)</w:t>
      </w:r>
      <w:r w:rsidR="0028248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</w:p>
    <w:p w:rsidR="0078732B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zastępca</w:t>
      </w:r>
      <w:r w:rsidR="0078732B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przewodniczącego,</w:t>
      </w:r>
    </w:p>
    <w:p w:rsidR="00282488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dwóch sekretarzy.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Obrady Zjazdu prowadzi przewodniczący Zjazdu lub jego zastępca.</w:t>
      </w:r>
    </w:p>
    <w:p w:rsidR="0078732B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Przewodniczący Zjazdu przeprowadza w głosowaniu jawnym przyjęcie</w:t>
      </w:r>
      <w:r w:rsidR="006A1AC3" w:rsidRPr="00C86537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E644BE" w:rsidRPr="00C86537" w:rsidRDefault="00E644BE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porządku obrad.</w:t>
      </w:r>
    </w:p>
    <w:p w:rsidR="0078732B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regulaminu obrad, </w:t>
      </w:r>
    </w:p>
    <w:p w:rsidR="0078732B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regulaminu </w:t>
      </w:r>
      <w:r w:rsidR="00B4123B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głosowań i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wyborów</w:t>
      </w:r>
      <w:r w:rsidR="00241DDA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282488" w:rsidRPr="00C86537" w:rsidRDefault="00E644BE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listy gości Zjazdu</w:t>
      </w:r>
      <w:r w:rsidR="00282488" w:rsidRPr="00C86537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78732B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Zjazd powołuje co najmniej następujące komisje:</w:t>
      </w:r>
    </w:p>
    <w:p w:rsidR="0078732B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Komisję Mandatową, </w:t>
      </w:r>
    </w:p>
    <w:p w:rsidR="0078732B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Komisję Wnioskowo-Uchwałową, </w:t>
      </w:r>
    </w:p>
    <w:p w:rsidR="0078732B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Komisję Wyborczą</w:t>
      </w:r>
      <w:r w:rsidR="0078732B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(Skrutacyjną)</w:t>
      </w:r>
      <w:r w:rsidR="00E644BE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– w przypadku prowadzenia g</w:t>
      </w:r>
      <w:r w:rsidR="00407321" w:rsidRPr="00C86537">
        <w:rPr>
          <w:rFonts w:ascii="Arial" w:eastAsia="Times New Roman" w:hAnsi="Arial" w:cs="Arial"/>
          <w:sz w:val="23"/>
          <w:szCs w:val="23"/>
          <w:lang w:eastAsia="pl-PL"/>
        </w:rPr>
        <w:t>ł</w:t>
      </w:r>
      <w:r w:rsidR="00E644BE" w:rsidRPr="00C86537">
        <w:rPr>
          <w:rFonts w:ascii="Arial" w:eastAsia="Times New Roman" w:hAnsi="Arial" w:cs="Arial"/>
          <w:sz w:val="23"/>
          <w:szCs w:val="23"/>
          <w:lang w:eastAsia="pl-PL"/>
        </w:rPr>
        <w:t>osowań tradycyjnych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Zjazd może powołać inne komisje w celu przygotowania stanowiska Zjazdu w sprawach omawianych na Zjeździe.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Jeśli do Zjazdu </w:t>
      </w:r>
      <w:r w:rsidR="00E644BE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zgodnie ze Statutem PTI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zgłoszono odwołania od decyzji władz PTI, </w:t>
      </w:r>
      <w:r w:rsidR="00E644BE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to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Zjazd powołuje Komisję ds. Odwołań w celu rozpatrzenia odwołań i przedstawienia Zjazdowi propozycji uchwały.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Przewodniczący Zjazdu przeprowadza odrębne głosowanie jawne nad powołaniem każdej komisji Zjazdu. Głosowania prowadzi się </w:t>
      </w:r>
      <w:r w:rsidRPr="00C86537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en bloc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, jeśli liczba osób zgłoszonych do komisji nie przekracza liczby miejsc w komisji, lub indywidualnie w przeciwnym przypadku.</w:t>
      </w:r>
    </w:p>
    <w:p w:rsidR="00FE5D2F" w:rsidRPr="00C86537" w:rsidRDefault="00FE5D2F" w:rsidP="000F62B7">
      <w:pPr>
        <w:numPr>
          <w:ilvl w:val="0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Obrady Zjazdu są jawne, mogą być fotografowane/nagrywane/filmowane i transmitowane. </w:t>
      </w:r>
      <w:r w:rsidR="000F62B7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Wykonane na Zjeździe na zamówienie PTI materiały fotograficzne, audio i wideo mają licencję Creative Commons BY-SA.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Dane osobowe delegatów i zaproszonych gości będących osobami funkcyjnymi w towarzystwie są jawne w zakresie imienia, nazwiska, funkcji i macierzystej jednostki terenowej PTI.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Sprawdzenia obecności delegatów na Zjazd dokonuje się przed otwarciem Zjazdu, przy podpisywaniu listy obecności. Liczbę obecnych stwierdza Komisja Mandatowa, a na jej wniosek Zjazd podejmuje w głosowaniu jawnym uchwałę o prawomocności swych obrad.</w:t>
      </w:r>
    </w:p>
    <w:p w:rsidR="00E644BE" w:rsidRPr="00C86537" w:rsidRDefault="00E644BE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Goście Zjazdu członkowie PTI mają prawo głosu w sprawach do omówienia których zostali zaproszeni.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obrady udziela głosu </w:t>
      </w:r>
      <w:r w:rsidR="00407321" w:rsidRPr="00C86537">
        <w:rPr>
          <w:rFonts w:ascii="Arial" w:eastAsia="Times New Roman" w:hAnsi="Arial" w:cs="Arial"/>
          <w:sz w:val="23"/>
          <w:szCs w:val="23"/>
          <w:lang w:eastAsia="pl-PL"/>
        </w:rPr>
        <w:t>uczestnikom Zjazdu z głosem stanowiącym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i gościom Zjazdu</w:t>
      </w:r>
      <w:r w:rsidR="00366BCB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– w przypadku gości z zastrzeżeniem punktu poprzedniego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, w</w:t>
      </w:r>
      <w:r w:rsidR="00366BCB" w:rsidRPr="00C86537">
        <w:rPr>
          <w:rFonts w:ascii="Arial" w:eastAsia="Times New Roman" w:hAnsi="Arial" w:cs="Arial"/>
          <w:sz w:val="23"/>
          <w:szCs w:val="23"/>
          <w:lang w:eastAsia="pl-PL"/>
        </w:rPr>
        <w:t>edłu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g kolejności zgłoszeń. </w:t>
      </w:r>
      <w:r w:rsidR="00BB641F" w:rsidRPr="00C86537">
        <w:rPr>
          <w:rFonts w:ascii="Arial" w:eastAsia="Times New Roman" w:hAnsi="Arial" w:cs="Arial"/>
          <w:sz w:val="23"/>
          <w:szCs w:val="23"/>
          <w:lang w:eastAsia="pl-PL"/>
        </w:rPr>
        <w:t>Czas wystąpień, poza sprawozdania</w:t>
      </w:r>
      <w:r w:rsidR="00C86537" w:rsidRPr="00C86537">
        <w:rPr>
          <w:rFonts w:ascii="Arial" w:eastAsia="Times New Roman" w:hAnsi="Arial" w:cs="Arial"/>
          <w:sz w:val="23"/>
          <w:szCs w:val="23"/>
          <w:lang w:eastAsia="pl-PL"/>
        </w:rPr>
        <w:t>m</w:t>
      </w:r>
      <w:r w:rsidR="00BB641F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i ustępujących władz i komisji zjazdowych, jest ograniczony do 5 minut.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Prowadzący może udzielić głosu poza kolejnością członkom ustępujących władz oraz członkom komisji zjazdowych w celu przedstawienia wyjaśnień dotyczących przedstawionych sprawozdań.</w:t>
      </w:r>
    </w:p>
    <w:p w:rsidR="00282488" w:rsidRPr="00C86537" w:rsidRDefault="00282488" w:rsidP="008C1C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Prowadzący udziela głosu poza kolejnością w sprawach formalnych, dotyczących sposobu obradowania.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W sprawach formalnych udziela się głosu wnioskodawcy i jednemu spośród delegatów którzy zamierzają oponować przeciw wnioskowi, po 1 minucie każdemu. 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zarządza jawne głosowania nad uchwałami Zjazdu oraz nad sprawami 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>formalnymi.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Na wniosek Prezydium Zjazdu lub delegatów Zjazd może, w głosowaniu jawnym,  zdecydować o 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zakończeniu dyskusji lub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zamknięciu 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listy 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mówców. 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Prawo interpretacji niniejszego Regulaminu przysługuje Prezydium Zjazdu. Prezydium dokonując interpretacji bierze pod uwagę powszechnie przyjęte zasady obradowania, starając się zapewnić sprawny przebieg obrad.</w:t>
      </w:r>
    </w:p>
    <w:p w:rsidR="00C86537" w:rsidRPr="00C86537" w:rsidRDefault="00843A93" w:rsidP="00C86537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Protokół Zjazdu podpisują </w:t>
      </w:r>
      <w:r w:rsidR="009C58E1" w:rsidRPr="00C86537">
        <w:rPr>
          <w:rFonts w:ascii="Arial" w:eastAsia="Times New Roman" w:hAnsi="Arial" w:cs="Arial"/>
          <w:sz w:val="23"/>
          <w:szCs w:val="23"/>
          <w:lang w:eastAsia="pl-PL"/>
        </w:rPr>
        <w:t>wszyscy członkowie prezydium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Zjazdu</w:t>
      </w:r>
      <w:r w:rsidR="009C58E1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z zaparafowaniem przez przewodniczącego Zjazdu każdej strony oprócz ostatniej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, pozostałe dokumenty </w:t>
      </w:r>
      <w:r w:rsidR="009C58E1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podpsuje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przewodniczący 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Zjazdu. </w:t>
      </w:r>
    </w:p>
    <w:p w:rsidR="00D77FE5" w:rsidRPr="00C86537" w:rsidRDefault="008C1C98" w:rsidP="00C86537">
      <w:pPr>
        <w:spacing w:before="100" w:beforeAutospacing="1" w:after="180"/>
        <w:ind w:left="357"/>
        <w:jc w:val="both"/>
        <w:rPr>
          <w:rFonts w:ascii="Arial" w:hAnsi="Arial" w:cs="Arial"/>
          <w:sz w:val="23"/>
          <w:szCs w:val="23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Koniec</w:t>
      </w:r>
    </w:p>
    <w:sectPr w:rsidR="00D77FE5" w:rsidRPr="00C86537" w:rsidSect="002824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3" w:right="709" w:bottom="1418" w:left="1418" w:header="199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B2" w:rsidRDefault="00004CB2" w:rsidP="003564F9">
      <w:pPr>
        <w:spacing w:after="0" w:line="240" w:lineRule="auto"/>
      </w:pPr>
      <w:r>
        <w:separator/>
      </w:r>
    </w:p>
  </w:endnote>
  <w:endnote w:type="continuationSeparator" w:id="1">
    <w:p w:rsidR="00004CB2" w:rsidRDefault="00004CB2" w:rsidP="003564F9">
      <w:pPr>
        <w:spacing w:after="0" w:line="240" w:lineRule="auto"/>
      </w:pPr>
      <w:r>
        <w:continuationSeparator/>
      </w:r>
    </w:p>
  </w:endnote>
  <w:endnote w:type="continuationNotice" w:id="2">
    <w:p w:rsidR="00004CB2" w:rsidRDefault="00004CB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88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282488" w:rsidRPr="00D77FE5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Plik </w:t>
    </w:r>
    <w:fldSimple w:instr=" FILENAME   \* MERGEFORMAT ">
      <w:r w:rsidR="005407EA">
        <w:rPr>
          <w:rFonts w:ascii="MyriadPro-Regular" w:hAnsi="MyriadPro-Regular" w:cs="MyriadPro-Regular"/>
          <w:i/>
          <w:noProof/>
          <w:color w:val="595959"/>
          <w:spacing w:val="-4"/>
          <w:w w:val="90"/>
          <w:sz w:val="18"/>
          <w:szCs w:val="18"/>
        </w:rPr>
        <w:t>Regulamin_obrad_XI_Zjazdu_PTI.doc</w:t>
      </w:r>
    </w:fldSimple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</w:r>
    <w:r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Str. </w:t>
    </w:r>
    <w:r w:rsidR="00853207"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PAGE   \* MERGEFORMAT </w:instrText>
    </w:r>
    <w:r w:rsidR="00853207"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241DDA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2</w:t>
    </w:r>
    <w:r w:rsidR="00853207"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  <w:r w:rsidRPr="00843A93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t xml:space="preserve"> z </w:t>
    </w:r>
    <w:fldSimple w:instr=" NUMPAGES   \* MERGEFORMAT ">
      <w:r w:rsidR="00241DDA" w:rsidRPr="00241DDA">
        <w:rPr>
          <w:rFonts w:ascii="MyriadPro-Regular" w:hAnsi="MyriadPro-Regular" w:cs="MyriadPro-Regular"/>
          <w:i/>
          <w:noProof/>
          <w:color w:val="595959"/>
          <w:spacing w:val="-4"/>
          <w:w w:val="90"/>
          <w:sz w:val="18"/>
          <w:szCs w:val="18"/>
        </w:rPr>
        <w:t>2</w:t>
      </w:r>
    </w:fldSimple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/>
    </w:tblPr>
    <w:tblGrid>
      <w:gridCol w:w="11482"/>
    </w:tblGrid>
    <w:tr w:rsidR="00282488" w:rsidRPr="00D77FE5" w:rsidTr="00282488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:rsidR="00282488" w:rsidRPr="00D77FE5" w:rsidRDefault="00282488" w:rsidP="00AF72C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:rsidR="00E84CA9" w:rsidRPr="00D77FE5" w:rsidRDefault="00E84CA9" w:rsidP="00D77FE5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2B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78732B" w:rsidRPr="00D77FE5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Plik </w:t>
    </w:r>
    <w:fldSimple w:instr=" FILENAME   \* MERGEFORMAT ">
      <w:r w:rsidRPr="00282488">
        <w:rPr>
          <w:rFonts w:ascii="MyriadPro-Regular" w:hAnsi="MyriadPro-Regular" w:cs="MyriadPro-Regular"/>
          <w:i/>
          <w:noProof/>
          <w:color w:val="595959"/>
          <w:spacing w:val="-4"/>
          <w:w w:val="90"/>
          <w:sz w:val="18"/>
          <w:szCs w:val="18"/>
        </w:rPr>
        <w:t>papier.doc</w:t>
      </w:r>
    </w:fldSimple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  <w:t xml:space="preserve">Str. </w:t>
    </w:r>
    <w:r w:rsidR="00853207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PAGE   \* MERGEFORMAT </w:instrText>
    </w:r>
    <w:r w:rsidR="00853207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241DDA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1</w:t>
    </w:r>
    <w:r w:rsidR="00853207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 </w:t>
    </w:r>
    <w:r w:rsidRPr="00282488">
      <w:rPr>
        <w:rFonts w:ascii="MyriadPro-Regular" w:hAnsi="MyriadPro-Regular" w:cs="MyriadPro-Regular"/>
        <w:color w:val="595959"/>
        <w:spacing w:val="-4"/>
        <w:w w:val="90"/>
        <w:sz w:val="16"/>
        <w:szCs w:val="16"/>
      </w:rPr>
      <w:t xml:space="preserve">z </w:t>
    </w:r>
    <w:fldSimple w:instr=" NUMPAGES   \* MERGEFORMAT ">
      <w:r w:rsidR="00241DDA" w:rsidRPr="00241DDA">
        <w:rPr>
          <w:rFonts w:ascii="MyriadPro-Regular" w:hAnsi="MyriadPro-Regular" w:cs="MyriadPro-Regular"/>
          <w:noProof/>
          <w:color w:val="595959"/>
          <w:spacing w:val="-4"/>
          <w:w w:val="90"/>
          <w:sz w:val="16"/>
          <w:szCs w:val="16"/>
        </w:rPr>
        <w:t>2</w:t>
      </w:r>
    </w:fldSimple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/>
    </w:tblPr>
    <w:tblGrid>
      <w:gridCol w:w="11482"/>
    </w:tblGrid>
    <w:tr w:rsidR="0078732B" w:rsidRPr="00D77FE5" w:rsidTr="00AF72C7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:rsidR="0078732B" w:rsidRPr="00D77FE5" w:rsidRDefault="0078732B" w:rsidP="00AF72C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:rsidR="0078732B" w:rsidRPr="00D77FE5" w:rsidRDefault="0078732B" w:rsidP="0078732B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78732B" w:rsidRDefault="007873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B2" w:rsidRDefault="00004CB2" w:rsidP="003564F9">
      <w:pPr>
        <w:spacing w:after="0" w:line="240" w:lineRule="auto"/>
      </w:pPr>
      <w:r>
        <w:separator/>
      </w:r>
    </w:p>
  </w:footnote>
  <w:footnote w:type="continuationSeparator" w:id="1">
    <w:p w:rsidR="00004CB2" w:rsidRDefault="00004CB2" w:rsidP="003564F9">
      <w:pPr>
        <w:spacing w:after="0" w:line="240" w:lineRule="auto"/>
      </w:pPr>
      <w:r>
        <w:continuationSeparator/>
      </w:r>
    </w:p>
  </w:footnote>
  <w:footnote w:type="continuationNotice" w:id="2">
    <w:p w:rsidR="00004CB2" w:rsidRDefault="00004CB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9" w:rsidRPr="00282488" w:rsidRDefault="00282488" w:rsidP="005407EA">
    <w:pPr>
      <w:pStyle w:val="Nagwek"/>
      <w:pBdr>
        <w:bottom w:val="single" w:sz="4" w:space="1" w:color="auto"/>
      </w:pBdr>
      <w:tabs>
        <w:tab w:val="clear" w:pos="9072"/>
        <w:tab w:val="right" w:pos="9781"/>
      </w:tabs>
      <w:jc w:val="right"/>
      <w:rPr>
        <w:sz w:val="24"/>
        <w:szCs w:val="24"/>
      </w:rPr>
    </w:pPr>
    <w:r w:rsidRPr="00282488">
      <w:rPr>
        <w:sz w:val="24"/>
        <w:szCs w:val="24"/>
      </w:rPr>
      <w:tab/>
    </w:r>
    <w:r w:rsidRPr="00282488">
      <w:rPr>
        <w:rFonts w:ascii="Arial" w:eastAsia="Times New Roman" w:hAnsi="Arial" w:cs="Arial"/>
        <w:b/>
        <w:bCs/>
        <w:sz w:val="24"/>
        <w:szCs w:val="24"/>
        <w:lang w:eastAsia="pl-PL"/>
      </w:rPr>
      <w:t>Regulamin obrad XI Zjazdu Delegatów PTI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88" w:rsidRDefault="00886E91" w:rsidP="00282488">
    <w:pPr>
      <w:pStyle w:val="Nagwek"/>
      <w:spacing w:line="192" w:lineRule="auto"/>
      <w:jc w:val="center"/>
      <w:rPr>
        <w:rFonts w:ascii="Myriad Pro" w:hAnsi="Myriad Pro" w:cs="MyriadPro-Regular"/>
        <w:w w:val="9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-1249045</wp:posOffset>
          </wp:positionV>
          <wp:extent cx="7562850" cy="1533525"/>
          <wp:effectExtent l="19050" t="0" r="0" b="0"/>
          <wp:wrapNone/>
          <wp:docPr id="5" name="Obraz 5" descr="papier_frmowy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rmowy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Zarząd Główny, </w:t>
    </w:r>
    <w:r w:rsidR="00282488">
      <w:rPr>
        <w:rFonts w:ascii="Myriad Pro" w:hAnsi="Myriad Pro" w:cs="MyriadPro-Regular"/>
        <w:w w:val="90"/>
        <w:sz w:val="18"/>
        <w:szCs w:val="18"/>
      </w:rPr>
      <w:t>a</w:t>
    </w:r>
    <w:r w:rsidR="00282488" w:rsidRPr="003217C7">
      <w:rPr>
        <w:rFonts w:ascii="Myriad Pro" w:hAnsi="Myriad Pro" w:cs="MyriadPro-Regular"/>
        <w:w w:val="90"/>
        <w:sz w:val="18"/>
        <w:szCs w:val="18"/>
      </w:rPr>
      <w:t>l. Solidarności 82A</w:t>
    </w:r>
    <w:r w:rsidR="00282488">
      <w:rPr>
        <w:rFonts w:ascii="Myriad Pro" w:hAnsi="Myriad Pro" w:cs="MyriadPro-Regular"/>
        <w:w w:val="90"/>
        <w:sz w:val="18"/>
        <w:szCs w:val="18"/>
      </w:rPr>
      <w:t>/</w:t>
    </w:r>
    <w:r w:rsidR="00282488" w:rsidRPr="003217C7">
      <w:rPr>
        <w:rFonts w:ascii="Myriad Pro" w:hAnsi="Myriad Pro" w:cs="MyriadPro-Regular"/>
        <w:w w:val="90"/>
        <w:sz w:val="18"/>
        <w:szCs w:val="18"/>
      </w:rPr>
      <w:t>5, 01-003 Warszawa</w:t>
    </w:r>
    <w:r w:rsidR="00282488" w:rsidRPr="003564F9">
      <w:rPr>
        <w:rFonts w:ascii="Myriad Pro" w:hAnsi="Myriad Pro" w:cs="MyriadPro-Regular"/>
        <w:w w:val="90"/>
        <w:sz w:val="18"/>
        <w:szCs w:val="18"/>
      </w:rPr>
      <w:t>, tel.: + 48 22</w:t>
    </w:r>
    <w:r w:rsidR="00282488">
      <w:rPr>
        <w:rFonts w:ascii="Myriad Pro" w:hAnsi="Myriad Pro" w:cs="MyriadPro-Regular"/>
        <w:w w:val="90"/>
        <w:sz w:val="18"/>
        <w:szCs w:val="18"/>
      </w:rPr>
      <w:t xml:space="preserve"> 838 47 05, </w:t>
    </w:r>
    <w:r w:rsidR="00282488" w:rsidRPr="003564F9">
      <w:rPr>
        <w:rFonts w:ascii="Myriad Pro" w:hAnsi="Myriad Pro" w:cs="MyriadPro-Regular"/>
        <w:w w:val="90"/>
        <w:sz w:val="18"/>
        <w:szCs w:val="18"/>
      </w:rPr>
      <w:t>fa</w:t>
    </w:r>
    <w:r w:rsidR="00282488">
      <w:rPr>
        <w:rFonts w:ascii="Myriad Pro" w:hAnsi="Myriad Pro" w:cs="MyriadPro-Regular"/>
        <w:w w:val="90"/>
        <w:sz w:val="18"/>
        <w:szCs w:val="18"/>
      </w:rPr>
      <w:t>x</w:t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: + 48 22 636 89 87, e-mail: pti@pti.org.pl, </w:t>
    </w:r>
    <w:hyperlink r:id="rId2" w:history="1">
      <w:r w:rsidR="00282488" w:rsidRPr="00A9612F">
        <w:rPr>
          <w:rStyle w:val="Hipercze"/>
          <w:rFonts w:ascii="Myriad Pro" w:hAnsi="Myriad Pro" w:cs="MyriadPro-Regular"/>
          <w:w w:val="90"/>
          <w:sz w:val="18"/>
          <w:szCs w:val="18"/>
        </w:rPr>
        <w:t>www.pti.org.pl</w:t>
      </w:r>
    </w:hyperlink>
  </w:p>
  <w:p w:rsidR="00282488" w:rsidRPr="003564F9" w:rsidRDefault="00282488" w:rsidP="00282488">
    <w:pPr>
      <w:pStyle w:val="Nagwek"/>
      <w:spacing w:before="20" w:line="192" w:lineRule="auto"/>
      <w:jc w:val="center"/>
    </w:pPr>
    <w:r>
      <w:rPr>
        <w:rFonts w:ascii="Myriad Pro" w:hAnsi="Myriad Pro" w:cs="MyriadPro-Regular"/>
        <w:w w:val="90"/>
        <w:sz w:val="18"/>
        <w:szCs w:val="18"/>
      </w:rPr>
      <w:t xml:space="preserve">Adres korespondencyjny: </w:t>
    </w:r>
    <w:r w:rsidRPr="003564F9">
      <w:rPr>
        <w:rFonts w:ascii="Myriad Pro" w:hAnsi="Myriad Pro" w:cs="MyriadPro-Regular"/>
        <w:w w:val="90"/>
        <w:sz w:val="18"/>
        <w:szCs w:val="18"/>
      </w:rPr>
      <w:t>ul. Puławska 39</w:t>
    </w:r>
    <w:r>
      <w:rPr>
        <w:rFonts w:ascii="Myriad Pro" w:hAnsi="Myriad Pro" w:cs="MyriadPro-Regular"/>
        <w:w w:val="90"/>
        <w:sz w:val="18"/>
        <w:szCs w:val="18"/>
      </w:rPr>
      <w:t>/</w:t>
    </w:r>
    <w:r w:rsidRPr="003564F9">
      <w:rPr>
        <w:rFonts w:ascii="Myriad Pro" w:hAnsi="Myriad Pro" w:cs="MyriadPro-Regular"/>
        <w:w w:val="90"/>
        <w:sz w:val="18"/>
        <w:szCs w:val="18"/>
      </w:rPr>
      <w:t>4, 02-508 Warszawa</w:t>
    </w:r>
    <w:r w:rsidRPr="003217C7">
      <w:rPr>
        <w:rFonts w:ascii="Myriad Pro" w:hAnsi="Myriad Pro" w:cs="MyriadPro-Regular"/>
        <w:w w:val="90"/>
        <w:sz w:val="18"/>
        <w:szCs w:val="18"/>
      </w:rPr>
      <w:t xml:space="preserve"> </w:t>
    </w:r>
  </w:p>
  <w:p w:rsidR="00282488" w:rsidRDefault="002824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40D"/>
    <w:multiLevelType w:val="hybridMultilevel"/>
    <w:tmpl w:val="08EEFFF2"/>
    <w:lvl w:ilvl="0" w:tplc="14F2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564F9"/>
    <w:rsid w:val="00004CB2"/>
    <w:rsid w:val="000779FD"/>
    <w:rsid w:val="000F62B7"/>
    <w:rsid w:val="001B0DB5"/>
    <w:rsid w:val="001C0B80"/>
    <w:rsid w:val="0021077A"/>
    <w:rsid w:val="00241DDA"/>
    <w:rsid w:val="00282488"/>
    <w:rsid w:val="002A2746"/>
    <w:rsid w:val="003217C7"/>
    <w:rsid w:val="003512AB"/>
    <w:rsid w:val="003564F9"/>
    <w:rsid w:val="00366BCB"/>
    <w:rsid w:val="00401D81"/>
    <w:rsid w:val="00407321"/>
    <w:rsid w:val="00430820"/>
    <w:rsid w:val="004D012B"/>
    <w:rsid w:val="004E6C7A"/>
    <w:rsid w:val="005010CB"/>
    <w:rsid w:val="005407EA"/>
    <w:rsid w:val="00553E0C"/>
    <w:rsid w:val="006425F4"/>
    <w:rsid w:val="006643DC"/>
    <w:rsid w:val="006A1AC3"/>
    <w:rsid w:val="0078732B"/>
    <w:rsid w:val="00810347"/>
    <w:rsid w:val="00843A93"/>
    <w:rsid w:val="00853207"/>
    <w:rsid w:val="00882DB7"/>
    <w:rsid w:val="00886E91"/>
    <w:rsid w:val="008C1C98"/>
    <w:rsid w:val="008D57E0"/>
    <w:rsid w:val="00991AFF"/>
    <w:rsid w:val="009C58E1"/>
    <w:rsid w:val="00AF72C7"/>
    <w:rsid w:val="00B05D12"/>
    <w:rsid w:val="00B068CA"/>
    <w:rsid w:val="00B3320D"/>
    <w:rsid w:val="00B40FCC"/>
    <w:rsid w:val="00B4123B"/>
    <w:rsid w:val="00BB641F"/>
    <w:rsid w:val="00BF32AC"/>
    <w:rsid w:val="00C0614E"/>
    <w:rsid w:val="00C86537"/>
    <w:rsid w:val="00CA15AE"/>
    <w:rsid w:val="00CC1E5F"/>
    <w:rsid w:val="00D453D7"/>
    <w:rsid w:val="00D77FE5"/>
    <w:rsid w:val="00D97E3E"/>
    <w:rsid w:val="00DD6CEC"/>
    <w:rsid w:val="00E152DC"/>
    <w:rsid w:val="00E55897"/>
    <w:rsid w:val="00E644BE"/>
    <w:rsid w:val="00E84CA9"/>
    <w:rsid w:val="00E91938"/>
    <w:rsid w:val="00EC170B"/>
    <w:rsid w:val="00F629A1"/>
    <w:rsid w:val="00F83FE9"/>
    <w:rsid w:val="00FB6D27"/>
    <w:rsid w:val="00FC10DB"/>
    <w:rsid w:val="00F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F9"/>
  </w:style>
  <w:style w:type="paragraph" w:styleId="Stopka">
    <w:name w:val="footer"/>
    <w:basedOn w:val="Normalny"/>
    <w:link w:val="Stopka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9193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B6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64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641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i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9BD9-E113-43DB-8395-569C8A13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3320</CharactersWithSpaces>
  <SharedDoc>false</SharedDoc>
  <HLinks>
    <vt:vector size="6" baseType="variant"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http://www.pti.org.pl/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Mirosław Abramowicz</cp:lastModifiedBy>
  <cp:revision>4</cp:revision>
  <cp:lastPrinted>2009-08-11T08:00:00Z</cp:lastPrinted>
  <dcterms:created xsi:type="dcterms:W3CDTF">2015-02-11T17:31:00Z</dcterms:created>
  <dcterms:modified xsi:type="dcterms:W3CDTF">2015-02-12T11:48:00Z</dcterms:modified>
</cp:coreProperties>
</file>