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98" w:rsidRDefault="00993998" w:rsidP="00282488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pl-PL"/>
        </w:rPr>
      </w:pPr>
    </w:p>
    <w:p w:rsidR="007A701E" w:rsidRPr="006413FD" w:rsidRDefault="007A701E" w:rsidP="00282488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pl-PL"/>
        </w:rPr>
      </w:pPr>
    </w:p>
    <w:p w:rsidR="00993998" w:rsidRPr="006413FD" w:rsidRDefault="00993998" w:rsidP="0099399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413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Regulamin głosowań i </w:t>
      </w:r>
      <w:r w:rsidR="006413FD" w:rsidRPr="006413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wyborów na </w:t>
      </w:r>
      <w:r w:rsidR="00EB41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Nadzwyczajnym</w:t>
      </w:r>
      <w:r w:rsidR="006413FD" w:rsidRPr="006413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Zjeździe PTI</w:t>
      </w:r>
    </w:p>
    <w:p w:rsidR="00993998" w:rsidRPr="006413FD" w:rsidRDefault="00993998" w:rsidP="0099399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pl-PL"/>
        </w:rPr>
      </w:pPr>
      <w:r w:rsidRPr="006413FD">
        <w:rPr>
          <w:rFonts w:ascii="Arial" w:eastAsia="Times New Roman" w:hAnsi="Arial" w:cs="Arial"/>
          <w:b/>
          <w:bCs/>
          <w:lang w:eastAsia="pl-PL"/>
        </w:rPr>
        <w:t xml:space="preserve">Warszawa, </w:t>
      </w:r>
      <w:r w:rsidR="00EB41AC">
        <w:rPr>
          <w:rFonts w:ascii="Arial" w:eastAsia="Times New Roman" w:hAnsi="Arial" w:cs="Arial"/>
          <w:b/>
          <w:bCs/>
          <w:lang w:eastAsia="pl-PL"/>
        </w:rPr>
        <w:t>2</w:t>
      </w:r>
      <w:r w:rsidRPr="006413FD">
        <w:rPr>
          <w:rFonts w:ascii="Arial" w:eastAsia="Times New Roman" w:hAnsi="Arial" w:cs="Arial"/>
          <w:b/>
          <w:bCs/>
          <w:lang w:eastAsia="pl-PL"/>
        </w:rPr>
        <w:t xml:space="preserve">1 </w:t>
      </w:r>
      <w:r w:rsidR="00EB41AC">
        <w:rPr>
          <w:rFonts w:ascii="Arial" w:eastAsia="Times New Roman" w:hAnsi="Arial" w:cs="Arial"/>
          <w:b/>
          <w:bCs/>
          <w:lang w:eastAsia="pl-PL"/>
        </w:rPr>
        <w:t>marca 2015</w:t>
      </w:r>
      <w:r w:rsidRPr="006413FD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:rsidR="00993998" w:rsidRDefault="00993998" w:rsidP="0099399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A701E" w:rsidRPr="006413FD" w:rsidRDefault="007A701E" w:rsidP="0099399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93998" w:rsidRPr="006413F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Niniejszy </w:t>
      </w:r>
      <w:r w:rsidR="006413FD" w:rsidRPr="006413FD">
        <w:rPr>
          <w:rFonts w:ascii="Arial" w:eastAsia="Times New Roman" w:hAnsi="Arial" w:cs="Arial"/>
          <w:lang w:eastAsia="pl-PL"/>
        </w:rPr>
        <w:t>r</w:t>
      </w:r>
      <w:r w:rsidRPr="006413FD">
        <w:rPr>
          <w:rFonts w:ascii="Arial" w:eastAsia="Times New Roman" w:hAnsi="Arial" w:cs="Arial"/>
          <w:lang w:eastAsia="pl-PL"/>
        </w:rPr>
        <w:t xml:space="preserve">egulamin określa zasady przeprowadzania </w:t>
      </w:r>
      <w:r w:rsidR="000B2FAD">
        <w:rPr>
          <w:rFonts w:ascii="Arial" w:eastAsia="Times New Roman" w:hAnsi="Arial" w:cs="Arial"/>
          <w:lang w:eastAsia="pl-PL"/>
        </w:rPr>
        <w:t xml:space="preserve">głosowań </w:t>
      </w:r>
      <w:r w:rsidR="00EB41AC">
        <w:rPr>
          <w:rFonts w:ascii="Arial" w:eastAsia="Times New Roman" w:hAnsi="Arial" w:cs="Arial"/>
          <w:lang w:eastAsia="pl-PL"/>
        </w:rPr>
        <w:t xml:space="preserve">w sprawie </w:t>
      </w:r>
      <w:r w:rsidR="00FE3585">
        <w:rPr>
          <w:rFonts w:ascii="Arial" w:eastAsia="Times New Roman" w:hAnsi="Arial" w:cs="Arial"/>
          <w:lang w:eastAsia="pl-PL"/>
        </w:rPr>
        <w:t>wyborów</w:t>
      </w:r>
      <w:r w:rsidRPr="006413FD">
        <w:rPr>
          <w:rFonts w:ascii="Arial" w:eastAsia="Times New Roman" w:hAnsi="Arial" w:cs="Arial"/>
          <w:lang w:eastAsia="pl-PL"/>
        </w:rPr>
        <w:t>:</w:t>
      </w:r>
    </w:p>
    <w:p w:rsidR="009D46D1" w:rsidRDefault="00FE3585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Prezydium Zjazdu (Przewodniczącego Zjazdu, jego zastępcy oraz 2 sekretarzy),</w:t>
      </w:r>
      <w:r w:rsidR="009D46D1" w:rsidRPr="009D46D1">
        <w:rPr>
          <w:rFonts w:ascii="Arial" w:eastAsia="Times New Roman" w:hAnsi="Arial" w:cs="Arial"/>
          <w:lang w:eastAsia="pl-PL"/>
        </w:rPr>
        <w:t xml:space="preserve"> </w:t>
      </w:r>
    </w:p>
    <w:p w:rsidR="00FE3585" w:rsidRDefault="009D46D1" w:rsidP="009D46D1">
      <w:pPr>
        <w:spacing w:before="100" w:beforeAutospacing="1" w:after="180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 przyjęcia wraz z uchwaleniem</w:t>
      </w:r>
    </w:p>
    <w:p w:rsidR="00993998" w:rsidRPr="006413FD" w:rsidRDefault="00EB635E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EB41AC">
        <w:rPr>
          <w:rFonts w:ascii="Arial" w:eastAsia="Times New Roman" w:hAnsi="Arial" w:cs="Arial"/>
          <w:lang w:eastAsia="pl-PL"/>
        </w:rPr>
        <w:t>trategii</w:t>
      </w:r>
      <w:r w:rsidR="00993998" w:rsidRPr="006413FD">
        <w:rPr>
          <w:rFonts w:ascii="Arial" w:eastAsia="Times New Roman" w:hAnsi="Arial" w:cs="Arial"/>
          <w:lang w:eastAsia="pl-PL"/>
        </w:rPr>
        <w:t xml:space="preserve"> PTI</w:t>
      </w:r>
      <w:r w:rsidR="00EB41AC">
        <w:rPr>
          <w:rFonts w:ascii="Arial" w:eastAsia="Times New Roman" w:hAnsi="Arial" w:cs="Arial"/>
          <w:lang w:eastAsia="pl-PL"/>
        </w:rPr>
        <w:t xml:space="preserve"> na lata </w:t>
      </w:r>
      <w:r>
        <w:rPr>
          <w:rFonts w:ascii="Arial" w:eastAsia="Times New Roman" w:hAnsi="Arial" w:cs="Arial"/>
          <w:lang w:eastAsia="pl-PL"/>
        </w:rPr>
        <w:t>2015-2017,</w:t>
      </w:r>
    </w:p>
    <w:p w:rsidR="00993998" w:rsidRDefault="00EB635E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FE3585">
        <w:rPr>
          <w:rFonts w:ascii="Arial" w:eastAsia="Times New Roman" w:hAnsi="Arial" w:cs="Arial"/>
          <w:lang w:eastAsia="pl-PL"/>
        </w:rPr>
        <w:t>mian w Statucie PTI</w:t>
      </w:r>
      <w:r w:rsidR="009D46D1">
        <w:rPr>
          <w:rFonts w:ascii="Arial" w:eastAsia="Times New Roman" w:hAnsi="Arial" w:cs="Arial"/>
          <w:lang w:eastAsia="pl-PL"/>
        </w:rPr>
        <w:t xml:space="preserve">  z dnia 14 czerwca 2014r. </w:t>
      </w:r>
      <w:r w:rsidR="00FE3585">
        <w:rPr>
          <w:rFonts w:ascii="Arial" w:eastAsia="Times New Roman" w:hAnsi="Arial" w:cs="Arial"/>
          <w:lang w:eastAsia="pl-PL"/>
        </w:rPr>
        <w:t>,</w:t>
      </w:r>
    </w:p>
    <w:p w:rsidR="00FE3585" w:rsidRPr="006413FD" w:rsidRDefault="00FE3585" w:rsidP="00FE3585">
      <w:pPr>
        <w:spacing w:before="100" w:beforeAutospacing="1" w:after="180"/>
        <w:ind w:left="360"/>
        <w:jc w:val="both"/>
        <w:rPr>
          <w:rFonts w:ascii="Arial" w:eastAsia="Times New Roman" w:hAnsi="Arial" w:cs="Arial"/>
          <w:lang w:eastAsia="pl-PL"/>
        </w:rPr>
      </w:pPr>
      <w:r w:rsidRPr="000B2FAD">
        <w:rPr>
          <w:rFonts w:ascii="Arial" w:eastAsia="Times New Roman" w:hAnsi="Arial" w:cs="Arial"/>
          <w:lang w:eastAsia="pl-PL"/>
        </w:rPr>
        <w:t>przy c</w:t>
      </w:r>
      <w:r>
        <w:rPr>
          <w:rFonts w:ascii="Arial" w:eastAsia="Times New Roman" w:hAnsi="Arial" w:cs="Arial"/>
          <w:lang w:eastAsia="pl-PL"/>
        </w:rPr>
        <w:t>zym wybory określone podpunktem 1.1</w:t>
      </w:r>
      <w:r w:rsidRPr="000B2FAD">
        <w:rPr>
          <w:rFonts w:ascii="Arial" w:eastAsia="Times New Roman" w:hAnsi="Arial" w:cs="Arial"/>
          <w:lang w:eastAsia="pl-PL"/>
        </w:rPr>
        <w:t xml:space="preserve"> mogą się odbywać równocześnie</w:t>
      </w:r>
    </w:p>
    <w:p w:rsidR="000B2FAD" w:rsidRDefault="000B2FAD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B2FAD">
        <w:rPr>
          <w:rFonts w:ascii="Arial" w:eastAsia="Times New Roman" w:hAnsi="Arial" w:cs="Arial"/>
          <w:lang w:eastAsia="pl-PL"/>
        </w:rPr>
        <w:t xml:space="preserve">Głosowania są przeprowadzane </w:t>
      </w:r>
      <w:r w:rsidR="007A3206">
        <w:rPr>
          <w:rFonts w:ascii="Arial" w:eastAsia="Times New Roman" w:hAnsi="Arial" w:cs="Arial"/>
          <w:lang w:eastAsia="pl-PL"/>
        </w:rPr>
        <w:t xml:space="preserve">jako jawne lub tajne </w:t>
      </w:r>
      <w:r w:rsidRPr="000B2FAD">
        <w:rPr>
          <w:rFonts w:ascii="Arial" w:eastAsia="Times New Roman" w:hAnsi="Arial" w:cs="Arial"/>
          <w:lang w:eastAsia="pl-PL"/>
        </w:rPr>
        <w:t xml:space="preserve">w trybie tradycyjnym (analogowym) lub elektronicznym. </w:t>
      </w:r>
      <w:r w:rsidR="0034486D">
        <w:rPr>
          <w:rFonts w:ascii="Arial" w:eastAsia="Times New Roman" w:hAnsi="Arial" w:cs="Arial"/>
          <w:lang w:eastAsia="pl-PL"/>
        </w:rPr>
        <w:t>Tryby analogowe i elektroniczne mogą być stosowane przemiennie.</w:t>
      </w:r>
      <w:r w:rsidR="00C84140">
        <w:rPr>
          <w:rFonts w:ascii="Arial" w:eastAsia="Times New Roman" w:hAnsi="Arial" w:cs="Arial"/>
          <w:lang w:eastAsia="pl-PL"/>
        </w:rPr>
        <w:t xml:space="preserve"> W</w:t>
      </w:r>
      <w:r w:rsidR="00CD6278">
        <w:rPr>
          <w:rFonts w:ascii="Arial" w:eastAsia="Times New Roman" w:hAnsi="Arial" w:cs="Arial"/>
          <w:lang w:eastAsia="pl-PL"/>
        </w:rPr>
        <w:t> </w:t>
      </w:r>
      <w:r w:rsidR="00C84140">
        <w:rPr>
          <w:rFonts w:ascii="Arial" w:eastAsia="Times New Roman" w:hAnsi="Arial" w:cs="Arial"/>
          <w:lang w:eastAsia="pl-PL"/>
        </w:rPr>
        <w:t xml:space="preserve">przypadku stosowania głosowań tajnych tradycyjnych powoływana jest dla ich przeprowadzania Komisja </w:t>
      </w:r>
      <w:r w:rsidR="00FE3585">
        <w:rPr>
          <w:rFonts w:ascii="Arial" w:eastAsia="Times New Roman" w:hAnsi="Arial" w:cs="Arial"/>
          <w:lang w:eastAsia="pl-PL"/>
        </w:rPr>
        <w:t>Wyborcza (</w:t>
      </w:r>
      <w:r w:rsidR="00C84140">
        <w:rPr>
          <w:rFonts w:ascii="Arial" w:eastAsia="Times New Roman" w:hAnsi="Arial" w:cs="Arial"/>
          <w:lang w:eastAsia="pl-PL"/>
        </w:rPr>
        <w:t>Skrutacyjna</w:t>
      </w:r>
      <w:r w:rsidR="00FE3585">
        <w:rPr>
          <w:rFonts w:ascii="Arial" w:eastAsia="Times New Roman" w:hAnsi="Arial" w:cs="Arial"/>
          <w:lang w:eastAsia="pl-PL"/>
        </w:rPr>
        <w:t>)</w:t>
      </w:r>
      <w:r w:rsidR="00C84140">
        <w:rPr>
          <w:rFonts w:ascii="Arial" w:eastAsia="Times New Roman" w:hAnsi="Arial" w:cs="Arial"/>
          <w:lang w:eastAsia="pl-PL"/>
        </w:rPr>
        <w:t xml:space="preserve">, natomiast w przypadku stosowania głosowań tajnych elektronicznych Komisja </w:t>
      </w:r>
      <w:r w:rsidR="00EB41AC">
        <w:rPr>
          <w:rFonts w:ascii="Arial" w:eastAsia="Times New Roman" w:hAnsi="Arial" w:cs="Arial"/>
          <w:lang w:eastAsia="pl-PL"/>
        </w:rPr>
        <w:t>Skrutacyjna</w:t>
      </w:r>
      <w:r w:rsidR="00C84140">
        <w:rPr>
          <w:rFonts w:ascii="Arial" w:eastAsia="Times New Roman" w:hAnsi="Arial" w:cs="Arial"/>
          <w:lang w:eastAsia="pl-PL"/>
        </w:rPr>
        <w:t xml:space="preserve"> nie jest powoływana, a jej rolę pełni prezydium Zjazdu.</w:t>
      </w:r>
    </w:p>
    <w:p w:rsidR="007A3206" w:rsidRPr="000B2FAD" w:rsidRDefault="007A3206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Głosowania tajne są przeprowadzane w przypadkach określonych przez statut oraz na wniosek co najmniej jednego delegata, o ile wniosek jest zgłaszany lub ma poparcie co najmniej 10% delegatów.</w:t>
      </w:r>
    </w:p>
    <w:p w:rsidR="000B2FAD" w:rsidRPr="000B2FAD" w:rsidRDefault="000B2FAD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B2FAD">
        <w:rPr>
          <w:rFonts w:ascii="Arial" w:eastAsia="Times New Roman" w:hAnsi="Arial" w:cs="Arial"/>
          <w:lang w:eastAsia="pl-PL"/>
        </w:rPr>
        <w:t>Głosowania elektroniczne są przeprowadzane za pomocą urządzeń pozwalających na głosowania jawne i tajne, zgodnie z instr</w:t>
      </w:r>
      <w:r w:rsidR="009F4EB0">
        <w:rPr>
          <w:rFonts w:ascii="Arial" w:eastAsia="Times New Roman" w:hAnsi="Arial" w:cs="Arial"/>
          <w:lang w:eastAsia="pl-PL"/>
        </w:rPr>
        <w:t>ukcją głosowań elektronicznych, stanowiąc</w:t>
      </w:r>
      <w:r w:rsidR="00E565B8">
        <w:rPr>
          <w:rFonts w:ascii="Arial" w:eastAsia="Times New Roman" w:hAnsi="Arial" w:cs="Arial"/>
          <w:lang w:eastAsia="pl-PL"/>
        </w:rPr>
        <w:t>ą</w:t>
      </w:r>
      <w:r w:rsidR="009F4EB0">
        <w:rPr>
          <w:rFonts w:ascii="Arial" w:eastAsia="Times New Roman" w:hAnsi="Arial" w:cs="Arial"/>
          <w:lang w:eastAsia="pl-PL"/>
        </w:rPr>
        <w:t xml:space="preserve"> załącznik do niniejszego regulaminu.</w:t>
      </w:r>
    </w:p>
    <w:p w:rsidR="000B2FAD" w:rsidRDefault="000B2FAD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Głosowania tradycyjne </w:t>
      </w:r>
      <w:r w:rsidRPr="000B2FAD">
        <w:rPr>
          <w:rFonts w:ascii="Arial" w:eastAsia="Times New Roman" w:hAnsi="Arial" w:cs="Arial"/>
          <w:lang w:eastAsia="pl-PL"/>
        </w:rPr>
        <w:t>jawne odbywają się przez podniesienie mandatów</w:t>
      </w:r>
      <w:r w:rsidR="00CD6278">
        <w:rPr>
          <w:rFonts w:ascii="Arial" w:eastAsia="Times New Roman" w:hAnsi="Arial" w:cs="Arial"/>
          <w:lang w:eastAsia="pl-PL"/>
        </w:rPr>
        <w:t xml:space="preserve"> wydawanych uczestnikom zjazdu z głosem stanowiącym</w:t>
      </w:r>
      <w:r w:rsidRPr="000B2FAD">
        <w:rPr>
          <w:rFonts w:ascii="Arial" w:eastAsia="Times New Roman" w:hAnsi="Arial" w:cs="Arial"/>
          <w:lang w:eastAsia="pl-PL"/>
        </w:rPr>
        <w:t xml:space="preserve">. W przypadku gdy wynik głosowania nie budzi wątpliwości </w:t>
      </w:r>
      <w:r>
        <w:rPr>
          <w:rFonts w:ascii="Arial" w:eastAsia="Times New Roman" w:hAnsi="Arial" w:cs="Arial"/>
          <w:lang w:eastAsia="pl-PL"/>
        </w:rPr>
        <w:t>p</w:t>
      </w:r>
      <w:r w:rsidRPr="000B2FAD">
        <w:rPr>
          <w:rFonts w:ascii="Arial" w:eastAsia="Times New Roman" w:hAnsi="Arial" w:cs="Arial"/>
          <w:lang w:eastAsia="pl-PL"/>
        </w:rPr>
        <w:t>rowadzący</w:t>
      </w:r>
      <w:r>
        <w:rPr>
          <w:rFonts w:ascii="Arial" w:eastAsia="Times New Roman" w:hAnsi="Arial" w:cs="Arial"/>
          <w:lang w:eastAsia="pl-PL"/>
        </w:rPr>
        <w:t xml:space="preserve"> obrady</w:t>
      </w:r>
      <w:r w:rsidRPr="000B2FAD">
        <w:rPr>
          <w:rFonts w:ascii="Arial" w:eastAsia="Times New Roman" w:hAnsi="Arial" w:cs="Arial"/>
          <w:lang w:eastAsia="pl-PL"/>
        </w:rPr>
        <w:t xml:space="preserve"> ogłasza go bez przeliczania głosów. W przeciwnym przypadku </w:t>
      </w:r>
      <w:r>
        <w:rPr>
          <w:rFonts w:ascii="Arial" w:eastAsia="Times New Roman" w:hAnsi="Arial" w:cs="Arial"/>
          <w:lang w:eastAsia="pl-PL"/>
        </w:rPr>
        <w:lastRenderedPageBreak/>
        <w:t>p</w:t>
      </w:r>
      <w:r w:rsidRPr="000B2FAD">
        <w:rPr>
          <w:rFonts w:ascii="Arial" w:eastAsia="Times New Roman" w:hAnsi="Arial" w:cs="Arial"/>
          <w:lang w:eastAsia="pl-PL"/>
        </w:rPr>
        <w:t>rowadzący wskazuje spośród delegatów osoby do liczenia głosów w liczbie zapewniającej sprawne przeliczenie.</w:t>
      </w:r>
    </w:p>
    <w:p w:rsidR="005E4E9E" w:rsidRPr="005E4E9E" w:rsidRDefault="002C64FE" w:rsidP="005E4E9E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Głosowania tradycyjne tajne </w:t>
      </w:r>
      <w:r w:rsidR="00AF5D5B">
        <w:rPr>
          <w:rFonts w:ascii="Arial" w:eastAsia="Times New Roman" w:hAnsi="Arial" w:cs="Arial"/>
          <w:lang w:eastAsia="pl-PL"/>
        </w:rPr>
        <w:t xml:space="preserve">odbywają się za pomocą </w:t>
      </w:r>
      <w:r w:rsidRPr="006413FD">
        <w:rPr>
          <w:rFonts w:ascii="Arial" w:eastAsia="Times New Roman" w:hAnsi="Arial" w:cs="Arial"/>
          <w:lang w:eastAsia="pl-PL"/>
        </w:rPr>
        <w:t>kart do głosowania, zawierając</w:t>
      </w:r>
      <w:r w:rsidR="007A3206">
        <w:rPr>
          <w:rFonts w:ascii="Arial" w:eastAsia="Times New Roman" w:hAnsi="Arial" w:cs="Arial"/>
          <w:lang w:eastAsia="pl-PL"/>
        </w:rPr>
        <w:t>ych w</w:t>
      </w:r>
      <w:r w:rsidR="00CD6278">
        <w:rPr>
          <w:rFonts w:ascii="Arial" w:eastAsia="Times New Roman" w:hAnsi="Arial" w:cs="Arial"/>
          <w:lang w:eastAsia="pl-PL"/>
        </w:rPr>
        <w:t> </w:t>
      </w:r>
      <w:r w:rsidR="007A3206">
        <w:rPr>
          <w:rFonts w:ascii="Arial" w:eastAsia="Times New Roman" w:hAnsi="Arial" w:cs="Arial"/>
          <w:lang w:eastAsia="pl-PL"/>
        </w:rPr>
        <w:t xml:space="preserve">przypadku wyborów </w:t>
      </w:r>
      <w:r w:rsidRPr="006413FD">
        <w:rPr>
          <w:rFonts w:ascii="Arial" w:eastAsia="Times New Roman" w:hAnsi="Arial" w:cs="Arial"/>
          <w:lang w:eastAsia="pl-PL"/>
        </w:rPr>
        <w:t>listę kandydatów w kolejności alfabetycznej.</w:t>
      </w:r>
      <w:r w:rsidR="0034486D">
        <w:rPr>
          <w:rFonts w:ascii="Arial" w:eastAsia="Times New Roman" w:hAnsi="Arial" w:cs="Arial"/>
          <w:lang w:eastAsia="pl-PL"/>
        </w:rPr>
        <w:t xml:space="preserve"> </w:t>
      </w:r>
      <w:r w:rsidRPr="006413FD">
        <w:rPr>
          <w:rFonts w:ascii="Arial" w:eastAsia="Times New Roman" w:hAnsi="Arial" w:cs="Arial"/>
          <w:lang w:eastAsia="pl-PL"/>
        </w:rPr>
        <w:t xml:space="preserve">Głos </w:t>
      </w:r>
      <w:r w:rsidR="0034486D">
        <w:rPr>
          <w:rFonts w:ascii="Arial" w:eastAsia="Times New Roman" w:hAnsi="Arial" w:cs="Arial"/>
          <w:lang w:eastAsia="pl-PL"/>
        </w:rPr>
        <w:t xml:space="preserve">w wyborach z listą </w:t>
      </w:r>
      <w:r w:rsidRPr="006413FD">
        <w:rPr>
          <w:rFonts w:ascii="Arial" w:eastAsia="Times New Roman" w:hAnsi="Arial" w:cs="Arial"/>
          <w:lang w:eastAsia="pl-PL"/>
        </w:rPr>
        <w:t xml:space="preserve">jest ważny, jeśli na karcie </w:t>
      </w:r>
      <w:r w:rsidR="0034486D">
        <w:rPr>
          <w:rFonts w:ascii="Arial" w:eastAsia="Times New Roman" w:hAnsi="Arial" w:cs="Arial"/>
          <w:lang w:eastAsia="pl-PL"/>
        </w:rPr>
        <w:t xml:space="preserve">są wyłącznie skreślenia i nieskreślonych </w:t>
      </w:r>
      <w:r w:rsidRPr="006413FD">
        <w:rPr>
          <w:rFonts w:ascii="Arial" w:eastAsia="Times New Roman" w:hAnsi="Arial" w:cs="Arial"/>
          <w:lang w:eastAsia="pl-PL"/>
        </w:rPr>
        <w:t>pozostawiono co najwyżej tylu</w:t>
      </w:r>
      <w:r w:rsidR="0034486D">
        <w:rPr>
          <w:rFonts w:ascii="Arial" w:eastAsia="Times New Roman" w:hAnsi="Arial" w:cs="Arial"/>
          <w:lang w:eastAsia="pl-PL"/>
        </w:rPr>
        <w:t xml:space="preserve"> </w:t>
      </w:r>
      <w:r w:rsidRPr="006413FD">
        <w:rPr>
          <w:rFonts w:ascii="Arial" w:eastAsia="Times New Roman" w:hAnsi="Arial" w:cs="Arial"/>
          <w:lang w:eastAsia="pl-PL"/>
        </w:rPr>
        <w:t xml:space="preserve"> kandydatów, ile jest miejsc do obsadzenia. </w:t>
      </w:r>
      <w:r w:rsidR="005E4E9E" w:rsidRPr="005E4E9E">
        <w:rPr>
          <w:rFonts w:ascii="Arial" w:eastAsia="Times New Roman" w:hAnsi="Arial" w:cs="Arial"/>
          <w:lang w:eastAsia="pl-PL"/>
        </w:rPr>
        <w:t xml:space="preserve">Po zakończeniu głosowania ustala </w:t>
      </w:r>
      <w:r w:rsidR="005E4E9E">
        <w:rPr>
          <w:rFonts w:ascii="Arial" w:eastAsia="Times New Roman" w:hAnsi="Arial" w:cs="Arial"/>
          <w:lang w:eastAsia="pl-PL"/>
        </w:rPr>
        <w:t xml:space="preserve">się </w:t>
      </w:r>
      <w:r w:rsidR="005E4E9E" w:rsidRPr="005E4E9E">
        <w:rPr>
          <w:rFonts w:ascii="Arial" w:eastAsia="Times New Roman" w:hAnsi="Arial" w:cs="Arial"/>
          <w:lang w:eastAsia="pl-PL"/>
        </w:rPr>
        <w:t>liczbę oddanych głosów, w tym ważnych i nieważnych, oraz liczbę głosów ważnych oddanych na każdego kandydata.</w:t>
      </w:r>
    </w:p>
    <w:p w:rsidR="0034486D" w:rsidRDefault="0034486D" w:rsidP="0034486D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Głosowania elektroniczne tajne odbywają się po kolei na kandydatów w porządku alfabetycznym.</w:t>
      </w:r>
      <w:r w:rsidRPr="006413FD">
        <w:rPr>
          <w:rFonts w:ascii="Arial" w:eastAsia="Times New Roman" w:hAnsi="Arial" w:cs="Arial"/>
          <w:lang w:eastAsia="pl-PL"/>
        </w:rPr>
        <w:t xml:space="preserve"> </w:t>
      </w:r>
    </w:p>
    <w:p w:rsidR="0034486D" w:rsidRPr="006413FD" w:rsidRDefault="0034486D" w:rsidP="0034486D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 przypadku głosowań tajnych analogowych przeprowadza je Komisja Wyborcza (Skrutacyjna)</w:t>
      </w:r>
      <w:r w:rsidR="005E4E9E">
        <w:rPr>
          <w:rFonts w:ascii="Arial" w:eastAsia="Times New Roman" w:hAnsi="Arial" w:cs="Arial"/>
          <w:lang w:eastAsia="pl-PL"/>
        </w:rPr>
        <w:t xml:space="preserve">. Wykonuje to rozdając karty do głosowania, zaznaczając to na mandatach delegatów lub odrywając od niego odcinek kontrolny, następnie zbierając </w:t>
      </w:r>
      <w:r w:rsidR="00397B30">
        <w:rPr>
          <w:rFonts w:ascii="Arial" w:eastAsia="Times New Roman" w:hAnsi="Arial" w:cs="Arial"/>
          <w:lang w:eastAsia="pl-PL"/>
        </w:rPr>
        <w:t>karty do głosowania</w:t>
      </w:r>
      <w:r w:rsidR="005E4E9E">
        <w:rPr>
          <w:rFonts w:ascii="Arial" w:eastAsia="Times New Roman" w:hAnsi="Arial" w:cs="Arial"/>
          <w:lang w:eastAsia="pl-PL"/>
        </w:rPr>
        <w:t xml:space="preserve">, potem licząc głosy, a po policzeniu ogłaszając przez jej przewodniczącego wynik. W przypadku głosowań tajnych elektronicznych wynik na podstawie protokołu (wydruku) ogłasza przewodniczący </w:t>
      </w:r>
      <w:r w:rsidR="00C84140">
        <w:rPr>
          <w:rFonts w:ascii="Arial" w:eastAsia="Times New Roman" w:hAnsi="Arial" w:cs="Arial"/>
          <w:lang w:eastAsia="pl-PL"/>
        </w:rPr>
        <w:t>Z</w:t>
      </w:r>
      <w:r w:rsidR="005E4E9E">
        <w:rPr>
          <w:rFonts w:ascii="Arial" w:eastAsia="Times New Roman" w:hAnsi="Arial" w:cs="Arial"/>
          <w:lang w:eastAsia="pl-PL"/>
        </w:rPr>
        <w:t>jazdu.</w:t>
      </w:r>
    </w:p>
    <w:p w:rsidR="00993998" w:rsidRPr="000B2FA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B2FAD">
        <w:rPr>
          <w:rFonts w:ascii="Arial" w:eastAsia="Times New Roman" w:hAnsi="Arial" w:cs="Arial"/>
          <w:lang w:eastAsia="pl-PL"/>
        </w:rPr>
        <w:t>Wybory obejmują:</w:t>
      </w:r>
    </w:p>
    <w:p w:rsidR="00993998" w:rsidRPr="000B2FAD" w:rsidRDefault="00993998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0B2FAD">
        <w:rPr>
          <w:rFonts w:ascii="Arial" w:eastAsia="Times New Roman" w:hAnsi="Arial" w:cs="Arial"/>
          <w:lang w:eastAsia="pl-PL"/>
        </w:rPr>
        <w:t>ustalenie list kandydatów (odrębnie dla każdych wyborów)</w:t>
      </w:r>
    </w:p>
    <w:p w:rsidR="00993998" w:rsidRPr="000B2FAD" w:rsidRDefault="00993998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0B2FAD">
        <w:rPr>
          <w:rFonts w:ascii="Arial" w:eastAsia="Times New Roman" w:hAnsi="Arial" w:cs="Arial"/>
          <w:lang w:eastAsia="pl-PL"/>
        </w:rPr>
        <w:t>powołanie komisji wyborczej</w:t>
      </w:r>
      <w:r w:rsidR="005E4E9E">
        <w:rPr>
          <w:rFonts w:ascii="Arial" w:eastAsia="Times New Roman" w:hAnsi="Arial" w:cs="Arial"/>
          <w:lang w:eastAsia="pl-PL"/>
        </w:rPr>
        <w:t xml:space="preserve">, z zastrzeżeniem punktu </w:t>
      </w:r>
      <w:r w:rsidR="00CD6278">
        <w:rPr>
          <w:rFonts w:ascii="Arial" w:eastAsia="Times New Roman" w:hAnsi="Arial" w:cs="Arial"/>
          <w:lang w:eastAsia="pl-PL"/>
        </w:rPr>
        <w:t>2</w:t>
      </w:r>
      <w:r w:rsidR="005E4E9E">
        <w:rPr>
          <w:rFonts w:ascii="Arial" w:eastAsia="Times New Roman" w:hAnsi="Arial" w:cs="Arial"/>
          <w:lang w:eastAsia="pl-PL"/>
        </w:rPr>
        <w:t>.</w:t>
      </w:r>
    </w:p>
    <w:p w:rsidR="00993998" w:rsidRPr="000B2FAD" w:rsidRDefault="00993998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0B2FAD">
        <w:rPr>
          <w:rFonts w:ascii="Arial" w:eastAsia="Times New Roman" w:hAnsi="Arial" w:cs="Arial"/>
          <w:lang w:eastAsia="pl-PL"/>
        </w:rPr>
        <w:t>głosowanie</w:t>
      </w:r>
    </w:p>
    <w:p w:rsidR="00993998" w:rsidRPr="000B2FAD" w:rsidRDefault="00993998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0B2FAD">
        <w:rPr>
          <w:rFonts w:ascii="Arial" w:eastAsia="Times New Roman" w:hAnsi="Arial" w:cs="Arial"/>
          <w:lang w:eastAsia="pl-PL"/>
        </w:rPr>
        <w:t>policzenie głosów, ustalenie i ogłoszenie wyników wyborów.</w:t>
      </w:r>
    </w:p>
    <w:p w:rsidR="00993998" w:rsidRPr="006413F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Przewodniczący Zjazdu ogłasza rozpoczęcie zgłaszania osób na listę kandydatów w każdych wyborach. Kandydatów (w dowolnej liczbie) może zgłaszać każdy </w:t>
      </w:r>
      <w:r w:rsidR="00C84140">
        <w:rPr>
          <w:rFonts w:ascii="Arial" w:eastAsia="Times New Roman" w:hAnsi="Arial" w:cs="Arial"/>
          <w:lang w:eastAsia="pl-PL"/>
        </w:rPr>
        <w:t>uczestnik Zjazdu z głosem stanowiącym</w:t>
      </w:r>
      <w:r w:rsidRPr="006413FD">
        <w:rPr>
          <w:rFonts w:ascii="Arial" w:eastAsia="Times New Roman" w:hAnsi="Arial" w:cs="Arial"/>
          <w:lang w:eastAsia="pl-PL"/>
        </w:rPr>
        <w:t>.</w:t>
      </w:r>
    </w:p>
    <w:p w:rsidR="00993998" w:rsidRPr="006413F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>Kandydatem może być każdy członek zwyczajny lub członek honorowy PTI.</w:t>
      </w:r>
    </w:p>
    <w:p w:rsidR="00993998" w:rsidRPr="006413F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Po przyjęciu wszystkich kandydatur </w:t>
      </w:r>
      <w:r w:rsidR="00C84140">
        <w:rPr>
          <w:rFonts w:ascii="Arial" w:eastAsia="Times New Roman" w:hAnsi="Arial" w:cs="Arial"/>
          <w:lang w:eastAsia="pl-PL"/>
        </w:rPr>
        <w:t>p</w:t>
      </w:r>
      <w:r w:rsidRPr="006413FD">
        <w:rPr>
          <w:rFonts w:ascii="Arial" w:eastAsia="Times New Roman" w:hAnsi="Arial" w:cs="Arial"/>
          <w:lang w:eastAsia="pl-PL"/>
        </w:rPr>
        <w:t>rzewodniczący Zjazdu ogłasza zamknięcie listy, a</w:t>
      </w:r>
      <w:r w:rsidR="006413FD">
        <w:rPr>
          <w:rFonts w:ascii="Arial" w:eastAsia="Times New Roman" w:hAnsi="Arial" w:cs="Arial"/>
          <w:lang w:eastAsia="pl-PL"/>
        </w:rPr>
        <w:t> </w:t>
      </w:r>
      <w:r w:rsidRPr="006413FD">
        <w:rPr>
          <w:rFonts w:ascii="Arial" w:eastAsia="Times New Roman" w:hAnsi="Arial" w:cs="Arial"/>
          <w:lang w:eastAsia="pl-PL"/>
        </w:rPr>
        <w:t>następnie pyta wszystkich zgłoszone osoby o zgodę na kandydowanie. Brak zgody powoduje skreślenie kandydata z listy. W przypadku osób nieobecnych na Zjeździe muszą być przedstawione</w:t>
      </w:r>
      <w:r w:rsidR="00397B30">
        <w:rPr>
          <w:rFonts w:ascii="Arial" w:eastAsia="Times New Roman" w:hAnsi="Arial" w:cs="Arial"/>
          <w:lang w:eastAsia="pl-PL"/>
        </w:rPr>
        <w:t xml:space="preserve"> do protokołu</w:t>
      </w:r>
      <w:r w:rsidRPr="006413FD">
        <w:rPr>
          <w:rFonts w:ascii="Arial" w:eastAsia="Times New Roman" w:hAnsi="Arial" w:cs="Arial"/>
          <w:lang w:eastAsia="pl-PL"/>
        </w:rPr>
        <w:t xml:space="preserve"> ich </w:t>
      </w:r>
      <w:r w:rsidR="00E565B8">
        <w:rPr>
          <w:rFonts w:ascii="Arial" w:eastAsia="Times New Roman" w:hAnsi="Arial" w:cs="Arial"/>
          <w:lang w:eastAsia="pl-PL"/>
        </w:rPr>
        <w:t xml:space="preserve">pisemne </w:t>
      </w:r>
      <w:r w:rsidRPr="006413FD">
        <w:rPr>
          <w:rFonts w:ascii="Arial" w:eastAsia="Times New Roman" w:hAnsi="Arial" w:cs="Arial"/>
          <w:lang w:eastAsia="pl-PL"/>
        </w:rPr>
        <w:t>oświadczenia</w:t>
      </w:r>
      <w:r w:rsidR="00397B30">
        <w:rPr>
          <w:rFonts w:ascii="Arial" w:eastAsia="Times New Roman" w:hAnsi="Arial" w:cs="Arial"/>
          <w:lang w:eastAsia="pl-PL"/>
        </w:rPr>
        <w:t xml:space="preserve"> zgody na kandydowanie</w:t>
      </w:r>
      <w:r w:rsidRPr="006413FD">
        <w:rPr>
          <w:rFonts w:ascii="Arial" w:eastAsia="Times New Roman" w:hAnsi="Arial" w:cs="Arial"/>
          <w:lang w:eastAsia="pl-PL"/>
        </w:rPr>
        <w:t>.</w:t>
      </w:r>
    </w:p>
    <w:p w:rsidR="00993998" w:rsidRDefault="00993998" w:rsidP="005E4E9E">
      <w:pPr>
        <w:numPr>
          <w:ilvl w:val="0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Po ustaleniu listy kandydatów </w:t>
      </w:r>
      <w:r w:rsidR="000B2FAD">
        <w:rPr>
          <w:rFonts w:ascii="Arial" w:eastAsia="Times New Roman" w:hAnsi="Arial" w:cs="Arial"/>
          <w:lang w:eastAsia="pl-PL"/>
        </w:rPr>
        <w:t>p</w:t>
      </w:r>
      <w:r w:rsidRPr="006413FD">
        <w:rPr>
          <w:rFonts w:ascii="Arial" w:eastAsia="Times New Roman" w:hAnsi="Arial" w:cs="Arial"/>
          <w:lang w:eastAsia="pl-PL"/>
        </w:rPr>
        <w:t xml:space="preserve">rzewodniczący przeprowadza w głosowaniu jawnym powołanie </w:t>
      </w:r>
      <w:r w:rsidR="00C84140">
        <w:rPr>
          <w:rFonts w:ascii="Arial" w:eastAsia="Times New Roman" w:hAnsi="Arial" w:cs="Arial"/>
          <w:lang w:eastAsia="pl-PL"/>
        </w:rPr>
        <w:t>K</w:t>
      </w:r>
      <w:r w:rsidRPr="006413FD">
        <w:rPr>
          <w:rFonts w:ascii="Arial" w:eastAsia="Times New Roman" w:hAnsi="Arial" w:cs="Arial"/>
          <w:lang w:eastAsia="pl-PL"/>
        </w:rPr>
        <w:t xml:space="preserve">omisji </w:t>
      </w:r>
      <w:r w:rsidR="00C84140">
        <w:rPr>
          <w:rFonts w:ascii="Arial" w:eastAsia="Times New Roman" w:hAnsi="Arial" w:cs="Arial"/>
          <w:lang w:eastAsia="pl-PL"/>
        </w:rPr>
        <w:t>W</w:t>
      </w:r>
      <w:r w:rsidRPr="006413FD">
        <w:rPr>
          <w:rFonts w:ascii="Arial" w:eastAsia="Times New Roman" w:hAnsi="Arial" w:cs="Arial"/>
          <w:lang w:eastAsia="pl-PL"/>
        </w:rPr>
        <w:t>yborczej</w:t>
      </w:r>
      <w:r w:rsidR="005E4E9E">
        <w:rPr>
          <w:rFonts w:ascii="Arial" w:eastAsia="Times New Roman" w:hAnsi="Arial" w:cs="Arial"/>
          <w:lang w:eastAsia="pl-PL"/>
        </w:rPr>
        <w:t xml:space="preserve">, </w:t>
      </w:r>
      <w:r w:rsidR="005E4E9E" w:rsidRPr="005E4E9E">
        <w:rPr>
          <w:rFonts w:ascii="Arial" w:eastAsia="Times New Roman" w:hAnsi="Arial" w:cs="Arial"/>
          <w:lang w:eastAsia="pl-PL"/>
        </w:rPr>
        <w:t>z zastrzeżeniem punktu</w:t>
      </w:r>
      <w:r w:rsidR="005E4E9E">
        <w:rPr>
          <w:rFonts w:ascii="Arial" w:eastAsia="Times New Roman" w:hAnsi="Arial" w:cs="Arial"/>
          <w:lang w:eastAsia="pl-PL"/>
        </w:rPr>
        <w:t xml:space="preserve"> </w:t>
      </w:r>
      <w:r w:rsidR="00C84140">
        <w:rPr>
          <w:rFonts w:ascii="Arial" w:eastAsia="Times New Roman" w:hAnsi="Arial" w:cs="Arial"/>
          <w:lang w:eastAsia="pl-PL"/>
        </w:rPr>
        <w:t>2</w:t>
      </w:r>
      <w:r w:rsidRPr="006413FD">
        <w:rPr>
          <w:rFonts w:ascii="Arial" w:eastAsia="Times New Roman" w:hAnsi="Arial" w:cs="Arial"/>
          <w:lang w:eastAsia="pl-PL"/>
        </w:rPr>
        <w:t xml:space="preserve">. Do komisji nie mogą wchodzić osoby kandydujące w wyborach. </w:t>
      </w:r>
      <w:r w:rsidR="00C84140">
        <w:rPr>
          <w:rFonts w:ascii="Arial" w:eastAsia="Times New Roman" w:hAnsi="Arial" w:cs="Arial"/>
          <w:lang w:eastAsia="pl-PL"/>
        </w:rPr>
        <w:t>K</w:t>
      </w:r>
      <w:r w:rsidRPr="006413FD">
        <w:rPr>
          <w:rFonts w:ascii="Arial" w:eastAsia="Times New Roman" w:hAnsi="Arial" w:cs="Arial"/>
          <w:lang w:eastAsia="pl-PL"/>
        </w:rPr>
        <w:t xml:space="preserve">omisja </w:t>
      </w:r>
      <w:r w:rsidR="00C84140">
        <w:rPr>
          <w:rFonts w:ascii="Arial" w:eastAsia="Times New Roman" w:hAnsi="Arial" w:cs="Arial"/>
          <w:lang w:eastAsia="pl-PL"/>
        </w:rPr>
        <w:t>W</w:t>
      </w:r>
      <w:r w:rsidRPr="006413FD">
        <w:rPr>
          <w:rFonts w:ascii="Arial" w:eastAsia="Times New Roman" w:hAnsi="Arial" w:cs="Arial"/>
          <w:lang w:eastAsia="pl-PL"/>
        </w:rPr>
        <w:t>yborcza może być wspólna dla kilku wyborów.</w:t>
      </w:r>
    </w:p>
    <w:p w:rsidR="00397B30" w:rsidRPr="006413FD" w:rsidRDefault="00397B30" w:rsidP="00397B30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 przeliczenia głosów ustala się w</w:t>
      </w:r>
      <w:r w:rsidRPr="006413FD">
        <w:rPr>
          <w:rFonts w:ascii="Arial" w:eastAsia="Times New Roman" w:hAnsi="Arial" w:cs="Arial"/>
          <w:lang w:eastAsia="pl-PL"/>
        </w:rPr>
        <w:t>ybran</w:t>
      </w:r>
      <w:r>
        <w:rPr>
          <w:rFonts w:ascii="Arial" w:eastAsia="Times New Roman" w:hAnsi="Arial" w:cs="Arial"/>
          <w:lang w:eastAsia="pl-PL"/>
        </w:rPr>
        <w:t>ych</w:t>
      </w:r>
      <w:r w:rsidRPr="006413FD">
        <w:rPr>
          <w:rFonts w:ascii="Arial" w:eastAsia="Times New Roman" w:hAnsi="Arial" w:cs="Arial"/>
          <w:lang w:eastAsia="pl-PL"/>
        </w:rPr>
        <w:t xml:space="preserve"> kandyda</w:t>
      </w:r>
      <w:r>
        <w:rPr>
          <w:rFonts w:ascii="Arial" w:eastAsia="Times New Roman" w:hAnsi="Arial" w:cs="Arial"/>
          <w:lang w:eastAsia="pl-PL"/>
        </w:rPr>
        <w:t>tów</w:t>
      </w:r>
      <w:r w:rsidRPr="006413FD">
        <w:rPr>
          <w:rFonts w:ascii="Arial" w:eastAsia="Times New Roman" w:hAnsi="Arial" w:cs="Arial"/>
          <w:lang w:eastAsia="pl-PL"/>
        </w:rPr>
        <w:t xml:space="preserve"> (co najwyżej tylu, ile jest miejsc do obsadzenia)</w:t>
      </w:r>
      <w:r>
        <w:rPr>
          <w:rFonts w:ascii="Arial" w:eastAsia="Times New Roman" w:hAnsi="Arial" w:cs="Arial"/>
          <w:lang w:eastAsia="pl-PL"/>
        </w:rPr>
        <w:t xml:space="preserve"> jako tych</w:t>
      </w:r>
      <w:r w:rsidRPr="006413FD">
        <w:rPr>
          <w:rFonts w:ascii="Arial" w:eastAsia="Times New Roman" w:hAnsi="Arial" w:cs="Arial"/>
          <w:lang w:eastAsia="pl-PL"/>
        </w:rPr>
        <w:t xml:space="preserve">, którzy otrzymają kolejno najwięcej głosów ważnych, przy czym liczba tych głosów jest większa od połowy wszystkich oddanych głosów ważnych. </w:t>
      </w:r>
    </w:p>
    <w:p w:rsidR="00993998" w:rsidRPr="006413F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>Przewodniczący komisji wyborczej</w:t>
      </w:r>
      <w:r w:rsidR="00397B30">
        <w:rPr>
          <w:rFonts w:ascii="Arial" w:eastAsia="Times New Roman" w:hAnsi="Arial" w:cs="Arial"/>
          <w:lang w:eastAsia="pl-PL"/>
        </w:rPr>
        <w:t xml:space="preserve"> w przypadku trybu analogowego lub przewodnicz</w:t>
      </w:r>
      <w:r w:rsidR="00C84140">
        <w:rPr>
          <w:rFonts w:ascii="Arial" w:eastAsia="Times New Roman" w:hAnsi="Arial" w:cs="Arial"/>
          <w:lang w:eastAsia="pl-PL"/>
        </w:rPr>
        <w:t>ą</w:t>
      </w:r>
      <w:r w:rsidR="00397B30">
        <w:rPr>
          <w:rFonts w:ascii="Arial" w:eastAsia="Times New Roman" w:hAnsi="Arial" w:cs="Arial"/>
          <w:lang w:eastAsia="pl-PL"/>
        </w:rPr>
        <w:t xml:space="preserve">cy </w:t>
      </w:r>
      <w:r w:rsidR="00C84140">
        <w:rPr>
          <w:rFonts w:ascii="Arial" w:eastAsia="Times New Roman" w:hAnsi="Arial" w:cs="Arial"/>
          <w:lang w:eastAsia="pl-PL"/>
        </w:rPr>
        <w:t>Z</w:t>
      </w:r>
      <w:r w:rsidR="00397B30">
        <w:rPr>
          <w:rFonts w:ascii="Arial" w:eastAsia="Times New Roman" w:hAnsi="Arial" w:cs="Arial"/>
          <w:lang w:eastAsia="pl-PL"/>
        </w:rPr>
        <w:t>jazdu w przypadku trybu elektronicznego</w:t>
      </w:r>
      <w:r w:rsidRPr="006413FD">
        <w:rPr>
          <w:rFonts w:ascii="Arial" w:eastAsia="Times New Roman" w:hAnsi="Arial" w:cs="Arial"/>
          <w:lang w:eastAsia="pl-PL"/>
        </w:rPr>
        <w:t xml:space="preserve"> ogłasza wynik wyborów, podając:</w:t>
      </w:r>
    </w:p>
    <w:p w:rsidR="00993998" w:rsidRPr="006413FD" w:rsidRDefault="00993998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>liczbę głosów oddanych, w tym głosów ważnych</w:t>
      </w:r>
    </w:p>
    <w:p w:rsidR="00993998" w:rsidRPr="006413FD" w:rsidRDefault="00993998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>listę kandydatów w kolejności alfabetycznej i liczbę głosów oddanych na każdego kandydata</w:t>
      </w:r>
    </w:p>
    <w:p w:rsidR="00993998" w:rsidRDefault="00993998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>listę kandydatów wybranych.</w:t>
      </w:r>
    </w:p>
    <w:p w:rsidR="00993998" w:rsidRPr="006413F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W przypadku, gdy w wyborach nie obsadzono wszystkich miejsc do obsadzenia, </w:t>
      </w:r>
      <w:r w:rsidR="007A701E">
        <w:rPr>
          <w:rFonts w:ascii="Arial" w:eastAsia="Times New Roman" w:hAnsi="Arial" w:cs="Arial"/>
          <w:lang w:eastAsia="pl-PL"/>
        </w:rPr>
        <w:t>p</w:t>
      </w:r>
      <w:r w:rsidRPr="006413FD">
        <w:rPr>
          <w:rFonts w:ascii="Arial" w:eastAsia="Times New Roman" w:hAnsi="Arial" w:cs="Arial"/>
          <w:lang w:eastAsia="pl-PL"/>
        </w:rPr>
        <w:t>rzewodniczący Zjazdu zarządza drugą turę głosowania. Do drugiej tury przechodzą następujący kandydaci:</w:t>
      </w:r>
    </w:p>
    <w:p w:rsidR="00993998" w:rsidRPr="006413FD" w:rsidRDefault="00993998" w:rsidP="00993998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w przypadku wyborów </w:t>
      </w:r>
      <w:r w:rsidR="00FE3585">
        <w:rPr>
          <w:rFonts w:ascii="Arial" w:eastAsia="Times New Roman" w:hAnsi="Arial" w:cs="Arial"/>
          <w:lang w:eastAsia="pl-PL"/>
        </w:rPr>
        <w:t>Przewodniczącego Zjazdu</w:t>
      </w:r>
      <w:r w:rsidRPr="006413FD">
        <w:rPr>
          <w:rFonts w:ascii="Arial" w:eastAsia="Times New Roman" w:hAnsi="Arial" w:cs="Arial"/>
          <w:lang w:eastAsia="pl-PL"/>
        </w:rPr>
        <w:t xml:space="preserve"> – dwaj kandydaci, którzy w pierwszej turze głosowania otrzymali </w:t>
      </w:r>
      <w:r w:rsidR="007A701E">
        <w:rPr>
          <w:rFonts w:ascii="Arial" w:eastAsia="Times New Roman" w:hAnsi="Arial" w:cs="Arial"/>
          <w:lang w:eastAsia="pl-PL"/>
        </w:rPr>
        <w:t xml:space="preserve">kolejno </w:t>
      </w:r>
      <w:r w:rsidRPr="006413FD">
        <w:rPr>
          <w:rFonts w:ascii="Arial" w:eastAsia="Times New Roman" w:hAnsi="Arial" w:cs="Arial"/>
          <w:lang w:eastAsia="pl-PL"/>
        </w:rPr>
        <w:t xml:space="preserve">najwięcej głosów, albo wszyscy kandydaci, którzy otrzymali </w:t>
      </w:r>
      <w:r w:rsidR="00397B30">
        <w:rPr>
          <w:rFonts w:ascii="Arial" w:eastAsia="Times New Roman" w:hAnsi="Arial" w:cs="Arial"/>
          <w:lang w:eastAsia="pl-PL"/>
        </w:rPr>
        <w:t xml:space="preserve">tę samą </w:t>
      </w:r>
      <w:r w:rsidRPr="006413FD">
        <w:rPr>
          <w:rFonts w:ascii="Arial" w:eastAsia="Times New Roman" w:hAnsi="Arial" w:cs="Arial"/>
          <w:lang w:eastAsia="pl-PL"/>
        </w:rPr>
        <w:t>największą liczbę głosów;</w:t>
      </w:r>
    </w:p>
    <w:p w:rsidR="00993998" w:rsidRDefault="00993998" w:rsidP="007A701E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w pozostałych wyborach – </w:t>
      </w:r>
      <w:r w:rsidR="007A701E" w:rsidRPr="007A701E">
        <w:rPr>
          <w:rFonts w:ascii="Arial" w:eastAsia="Times New Roman" w:hAnsi="Arial" w:cs="Arial"/>
          <w:lang w:eastAsia="pl-PL"/>
        </w:rPr>
        <w:t>kandydaci niewybrani w pierwszej turze, którzy otrzymali kolejno największą liczbę głosów, w liczbie równej dwukrotności miejsc pozostałych do obsadzenia; jeżeli kandydatów niewybranych jest mniej niż wynosi ta liczba - to wszyscy niewybrani kandydaci; jeżeli na skutek równej liczby głosów nie można wyodrębnić kandydatów w liczbie dwukrotności miejsc pozostałych do obsadzenia liczba kandydatów zostaje odpowiednio zwiększona</w:t>
      </w:r>
      <w:r w:rsidRPr="006413FD">
        <w:rPr>
          <w:rFonts w:ascii="Arial" w:eastAsia="Times New Roman" w:hAnsi="Arial" w:cs="Arial"/>
          <w:lang w:eastAsia="pl-PL"/>
        </w:rPr>
        <w:t>.</w:t>
      </w:r>
    </w:p>
    <w:p w:rsidR="00993998" w:rsidRPr="006413F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W drugiej turze zostają wybrani kandydaci (co najwyżej tylu, ile jest miejsc do obsadzenia), którzy uzyskali kolejno </w:t>
      </w:r>
      <w:r w:rsidR="007A701E">
        <w:rPr>
          <w:rFonts w:ascii="Arial" w:eastAsia="Times New Roman" w:hAnsi="Arial" w:cs="Arial"/>
          <w:lang w:eastAsia="pl-PL"/>
        </w:rPr>
        <w:t xml:space="preserve">największą </w:t>
      </w:r>
      <w:r w:rsidRPr="006413FD">
        <w:rPr>
          <w:rFonts w:ascii="Arial" w:eastAsia="Times New Roman" w:hAnsi="Arial" w:cs="Arial"/>
          <w:lang w:eastAsia="pl-PL"/>
        </w:rPr>
        <w:t>liczbę głosów.</w:t>
      </w:r>
    </w:p>
    <w:p w:rsidR="00993998" w:rsidRPr="006413FD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Jeżeli co najmniej dwóch kandydatów otrzyma równą liczbę głosów na ostatnie wybierane miejsce, </w:t>
      </w:r>
      <w:r w:rsidR="00397B30">
        <w:rPr>
          <w:rFonts w:ascii="Arial" w:eastAsia="Times New Roman" w:hAnsi="Arial" w:cs="Arial"/>
          <w:lang w:eastAsia="pl-PL"/>
        </w:rPr>
        <w:t>p</w:t>
      </w:r>
      <w:r w:rsidRPr="006413FD">
        <w:rPr>
          <w:rFonts w:ascii="Arial" w:eastAsia="Times New Roman" w:hAnsi="Arial" w:cs="Arial"/>
          <w:lang w:eastAsia="pl-PL"/>
        </w:rPr>
        <w:t>rzewodniczący Zjazdu zarządza wybory uzupełniające między tymi kandydatami</w:t>
      </w:r>
      <w:r w:rsidR="003E448E">
        <w:rPr>
          <w:rFonts w:ascii="Arial" w:eastAsia="Times New Roman" w:hAnsi="Arial" w:cs="Arial"/>
          <w:lang w:eastAsia="pl-PL"/>
        </w:rPr>
        <w:t xml:space="preserve"> z wynikiem ustalanym zgodnie z punktem 18</w:t>
      </w:r>
      <w:r w:rsidRPr="006413FD">
        <w:rPr>
          <w:rFonts w:ascii="Arial" w:eastAsia="Times New Roman" w:hAnsi="Arial" w:cs="Arial"/>
          <w:lang w:eastAsia="pl-PL"/>
        </w:rPr>
        <w:t>. W</w:t>
      </w:r>
      <w:r w:rsidR="00CD6278">
        <w:rPr>
          <w:rFonts w:ascii="Arial" w:eastAsia="Times New Roman" w:hAnsi="Arial" w:cs="Arial"/>
          <w:lang w:eastAsia="pl-PL"/>
        </w:rPr>
        <w:t> </w:t>
      </w:r>
      <w:r w:rsidRPr="006413FD">
        <w:rPr>
          <w:rFonts w:ascii="Arial" w:eastAsia="Times New Roman" w:hAnsi="Arial" w:cs="Arial"/>
          <w:lang w:eastAsia="pl-PL"/>
        </w:rPr>
        <w:t>przypadku braku rozstrzygnięcia przewodniczący Zjazdu zarządza losowanie.</w:t>
      </w:r>
    </w:p>
    <w:p w:rsidR="00993998" w:rsidRDefault="00993998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 xml:space="preserve">Protokoły wyborów są podpisywane przez wszystkich członków </w:t>
      </w:r>
      <w:r w:rsidR="00C84140">
        <w:rPr>
          <w:rFonts w:ascii="Arial" w:eastAsia="Times New Roman" w:hAnsi="Arial" w:cs="Arial"/>
          <w:lang w:eastAsia="pl-PL"/>
        </w:rPr>
        <w:t>K</w:t>
      </w:r>
      <w:r w:rsidRPr="006413FD">
        <w:rPr>
          <w:rFonts w:ascii="Arial" w:eastAsia="Times New Roman" w:hAnsi="Arial" w:cs="Arial"/>
          <w:lang w:eastAsia="pl-PL"/>
        </w:rPr>
        <w:t xml:space="preserve">omisji </w:t>
      </w:r>
      <w:r w:rsidR="00C84140">
        <w:rPr>
          <w:rFonts w:ascii="Arial" w:eastAsia="Times New Roman" w:hAnsi="Arial" w:cs="Arial"/>
          <w:lang w:eastAsia="pl-PL"/>
        </w:rPr>
        <w:t>W</w:t>
      </w:r>
      <w:r w:rsidRPr="006413FD">
        <w:rPr>
          <w:rFonts w:ascii="Arial" w:eastAsia="Times New Roman" w:hAnsi="Arial" w:cs="Arial"/>
          <w:lang w:eastAsia="pl-PL"/>
        </w:rPr>
        <w:t>yborczej</w:t>
      </w:r>
      <w:r w:rsidR="00397B30">
        <w:rPr>
          <w:rFonts w:ascii="Arial" w:eastAsia="Times New Roman" w:hAnsi="Arial" w:cs="Arial"/>
          <w:lang w:eastAsia="pl-PL"/>
        </w:rPr>
        <w:t xml:space="preserve"> w przypadku trybu analogowego, </w:t>
      </w:r>
      <w:r w:rsidR="00CD6278">
        <w:rPr>
          <w:rFonts w:ascii="Arial" w:eastAsia="Times New Roman" w:hAnsi="Arial" w:cs="Arial"/>
          <w:lang w:eastAsia="pl-PL"/>
        </w:rPr>
        <w:t>a </w:t>
      </w:r>
      <w:r w:rsidR="00397B30">
        <w:rPr>
          <w:rFonts w:ascii="Arial" w:eastAsia="Times New Roman" w:hAnsi="Arial" w:cs="Arial"/>
          <w:lang w:eastAsia="pl-PL"/>
        </w:rPr>
        <w:t xml:space="preserve">w przypadku trybu elektronicznego – przez co najmniej przewodniczącego </w:t>
      </w:r>
      <w:r w:rsidR="00C84140">
        <w:rPr>
          <w:rFonts w:ascii="Arial" w:eastAsia="Times New Roman" w:hAnsi="Arial" w:cs="Arial"/>
          <w:lang w:eastAsia="pl-PL"/>
        </w:rPr>
        <w:t>Z</w:t>
      </w:r>
      <w:r w:rsidR="00397B30">
        <w:rPr>
          <w:rFonts w:ascii="Arial" w:eastAsia="Times New Roman" w:hAnsi="Arial" w:cs="Arial"/>
          <w:lang w:eastAsia="pl-PL"/>
        </w:rPr>
        <w:t>jazdu i jego zastępcę</w:t>
      </w:r>
      <w:r w:rsidR="00C84140">
        <w:rPr>
          <w:rFonts w:ascii="Arial" w:eastAsia="Times New Roman" w:hAnsi="Arial" w:cs="Arial"/>
          <w:lang w:eastAsia="pl-PL"/>
        </w:rPr>
        <w:t xml:space="preserve">. Karty wyborcze z wyborów tajnych tradycyjnych są przez Komisję Wyborczą </w:t>
      </w:r>
      <w:r w:rsidR="00CD6278">
        <w:rPr>
          <w:rFonts w:ascii="Arial" w:eastAsia="Times New Roman" w:hAnsi="Arial" w:cs="Arial"/>
          <w:lang w:eastAsia="pl-PL"/>
        </w:rPr>
        <w:t xml:space="preserve">niszczone </w:t>
      </w:r>
      <w:r w:rsidR="00C84140">
        <w:rPr>
          <w:rFonts w:ascii="Arial" w:eastAsia="Times New Roman" w:hAnsi="Arial" w:cs="Arial"/>
          <w:lang w:eastAsia="pl-PL"/>
        </w:rPr>
        <w:t>po zamknięci</w:t>
      </w:r>
      <w:r w:rsidR="00CD6278">
        <w:rPr>
          <w:rFonts w:ascii="Arial" w:eastAsia="Times New Roman" w:hAnsi="Arial" w:cs="Arial"/>
          <w:lang w:eastAsia="pl-PL"/>
        </w:rPr>
        <w:t>u</w:t>
      </w:r>
      <w:r w:rsidR="00C84140">
        <w:rPr>
          <w:rFonts w:ascii="Arial" w:eastAsia="Times New Roman" w:hAnsi="Arial" w:cs="Arial"/>
          <w:lang w:eastAsia="pl-PL"/>
        </w:rPr>
        <w:t xml:space="preserve"> Zjazdu</w:t>
      </w:r>
      <w:r w:rsidR="00CD6278">
        <w:rPr>
          <w:rFonts w:ascii="Arial" w:eastAsia="Times New Roman" w:hAnsi="Arial" w:cs="Arial"/>
          <w:lang w:eastAsia="pl-PL"/>
        </w:rPr>
        <w:t>.</w:t>
      </w:r>
    </w:p>
    <w:p w:rsidR="00A56F75" w:rsidRDefault="00A56F75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Delegaci na Nadzwyczajny Zjazd PTI decydują o przyjęciu Strategii PTI na lata 2015-17 oraz na temat zakresu zmian w Statucie PTI, w sposób określony w załączniku nr 1 do niniejszego Regulaminu.</w:t>
      </w:r>
    </w:p>
    <w:p w:rsidR="00A56F75" w:rsidRDefault="00A56F75" w:rsidP="009939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Materiały z propozycjami Strategii PTI na lata 2015-17 oraz projekt zmian do obowiązującego Statutu PTI przedstawia Przewodniczący Nadzwyczajnego Zjazdu.  </w:t>
      </w:r>
    </w:p>
    <w:p w:rsidR="0057746F" w:rsidRPr="0057746F" w:rsidRDefault="00A56F75" w:rsidP="0057746F">
      <w:pPr>
        <w:numPr>
          <w:ilvl w:val="0"/>
          <w:numId w:val="1"/>
        </w:numPr>
        <w:spacing w:before="100" w:beforeAutospacing="1" w:after="180"/>
        <w:ind w:left="357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Ww. materiały, o których mowa w pkt. 21 są dostępne dla delegatów na Nadzwyczajny Zjazd na stronie internetowej PTI :</w:t>
      </w:r>
      <w:r w:rsidR="0057746F" w:rsidRPr="0057746F">
        <w:t xml:space="preserve"> </w:t>
      </w:r>
    </w:p>
    <w:p w:rsidR="00A56F75" w:rsidRPr="006413FD" w:rsidRDefault="0057746F" w:rsidP="0057746F">
      <w:pPr>
        <w:spacing w:before="100" w:beforeAutospacing="1" w:after="180"/>
        <w:ind w:left="357"/>
        <w:rPr>
          <w:rFonts w:ascii="Arial" w:eastAsia="Times New Roman" w:hAnsi="Arial" w:cs="Arial"/>
          <w:lang w:eastAsia="pl-PL"/>
        </w:rPr>
      </w:pPr>
      <w:hyperlink r:id="rId7" w:history="1">
        <w:r w:rsidRPr="004878B1">
          <w:rPr>
            <w:rStyle w:val="Hipercze"/>
            <w:rFonts w:ascii="Arial" w:eastAsia="Times New Roman" w:hAnsi="Arial" w:cs="Arial"/>
            <w:lang w:eastAsia="pl-PL"/>
          </w:rPr>
          <w:t>https://xii-zjazd.pti.org.pl/wiki/Sprawy_organizacji_zjazdu_nadzwyczajnego</w:t>
        </w:r>
      </w:hyperlink>
      <w:r>
        <w:rPr>
          <w:rFonts w:ascii="Arial" w:eastAsia="Times New Roman" w:hAnsi="Arial" w:cs="Arial"/>
          <w:lang w:eastAsia="pl-PL"/>
        </w:rPr>
        <w:t xml:space="preserve"> .</w:t>
      </w:r>
    </w:p>
    <w:p w:rsidR="00993998" w:rsidRPr="006413FD" w:rsidRDefault="00993998" w:rsidP="00282488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pl-PL"/>
        </w:rPr>
      </w:pPr>
    </w:p>
    <w:p w:rsidR="00282488" w:rsidRPr="006413FD" w:rsidRDefault="00282488" w:rsidP="00993998">
      <w:pPr>
        <w:spacing w:before="100" w:beforeAutospacing="1" w:after="180"/>
        <w:jc w:val="both"/>
        <w:rPr>
          <w:rFonts w:ascii="Arial" w:eastAsia="Times New Roman" w:hAnsi="Arial" w:cs="Arial"/>
          <w:lang w:eastAsia="pl-PL"/>
        </w:rPr>
      </w:pPr>
      <w:r w:rsidRPr="006413FD">
        <w:rPr>
          <w:rFonts w:ascii="Arial" w:eastAsia="Times New Roman" w:hAnsi="Arial" w:cs="Arial"/>
          <w:lang w:eastAsia="pl-PL"/>
        </w:rPr>
        <w:t>Koniec</w:t>
      </w:r>
    </w:p>
    <w:p w:rsidR="00D77FE5" w:rsidRDefault="00D77FE5">
      <w:pPr>
        <w:rPr>
          <w:rFonts w:ascii="Arial" w:hAnsi="Arial" w:cs="Arial"/>
        </w:rPr>
      </w:pPr>
    </w:p>
    <w:sectPr w:rsidR="00D77FE5" w:rsidSect="002824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3" w:right="709" w:bottom="1418" w:left="1418" w:header="199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62C" w:rsidRDefault="0053262C" w:rsidP="003564F9">
      <w:pPr>
        <w:spacing w:after="0" w:line="240" w:lineRule="auto"/>
      </w:pPr>
      <w:r>
        <w:separator/>
      </w:r>
    </w:p>
  </w:endnote>
  <w:endnote w:type="continuationSeparator" w:id="1">
    <w:p w:rsidR="0053262C" w:rsidRDefault="0053262C" w:rsidP="0035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88" w:rsidRDefault="00282488" w:rsidP="00282488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:rsidR="00282488" w:rsidRPr="00D77FE5" w:rsidRDefault="00282488" w:rsidP="00282488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Plik </w:t>
    </w:r>
    <w:fldSimple w:instr=" FILENAME   \* MERGEFORMAT ">
      <w:r w:rsidRPr="00282488">
        <w:rPr>
          <w:rFonts w:ascii="MyriadPro-Regular" w:hAnsi="MyriadPro-Regular" w:cs="MyriadPro-Regular"/>
          <w:i/>
          <w:noProof/>
          <w:color w:val="595959"/>
          <w:spacing w:val="-4"/>
          <w:w w:val="90"/>
          <w:sz w:val="18"/>
          <w:szCs w:val="18"/>
        </w:rPr>
        <w:t>papier.doc</w:t>
      </w:r>
    </w:fldSimple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ab/>
      <w:t xml:space="preserve">Str. </w:t>
    </w:r>
    <w:r w:rsidR="00360E1C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begin"/>
    </w: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instrText xml:space="preserve"> PAGE   \* MERGEFORMAT </w:instrText>
    </w:r>
    <w:r w:rsidR="00360E1C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separate"/>
    </w:r>
    <w:r w:rsidR="0057746F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4</w:t>
    </w:r>
    <w:r w:rsidR="00360E1C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end"/>
    </w: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 </w:t>
    </w:r>
    <w:r w:rsidRPr="00282488">
      <w:rPr>
        <w:rFonts w:ascii="MyriadPro-Regular" w:hAnsi="MyriadPro-Regular" w:cs="MyriadPro-Regular"/>
        <w:color w:val="595959"/>
        <w:spacing w:val="-4"/>
        <w:w w:val="90"/>
        <w:sz w:val="16"/>
        <w:szCs w:val="16"/>
      </w:rPr>
      <w:t xml:space="preserve">z </w:t>
    </w:r>
    <w:fldSimple w:instr=" NUMPAGES   \* MERGEFORMAT ">
      <w:r w:rsidR="0057746F" w:rsidRPr="0057746F">
        <w:rPr>
          <w:rFonts w:ascii="MyriadPro-Regular" w:hAnsi="MyriadPro-Regular" w:cs="MyriadPro-Regular"/>
          <w:noProof/>
          <w:color w:val="595959"/>
          <w:spacing w:val="-4"/>
          <w:w w:val="90"/>
          <w:sz w:val="16"/>
          <w:szCs w:val="16"/>
        </w:rPr>
        <w:t>4</w:t>
      </w:r>
    </w:fldSimple>
  </w:p>
  <w:tbl>
    <w:tblPr>
      <w:tblW w:w="11482" w:type="dxa"/>
      <w:tblInd w:w="-1064" w:type="dxa"/>
      <w:tblBorders>
        <w:top w:val="single" w:sz="4" w:space="0" w:color="auto"/>
      </w:tblBorders>
      <w:tblCellMar>
        <w:top w:w="28" w:type="dxa"/>
        <w:left w:w="70" w:type="dxa"/>
        <w:right w:w="70" w:type="dxa"/>
      </w:tblCellMar>
      <w:tblLook w:val="0000"/>
    </w:tblPr>
    <w:tblGrid>
      <w:gridCol w:w="11482"/>
    </w:tblGrid>
    <w:tr w:rsidR="00282488" w:rsidRPr="00D77FE5" w:rsidTr="00282488">
      <w:trPr>
        <w:trHeight w:val="170"/>
      </w:trPr>
      <w:tc>
        <w:tcPr>
          <w:tcW w:w="11482" w:type="dxa"/>
          <w:tcBorders>
            <w:top w:val="single" w:sz="6" w:space="0" w:color="808080"/>
          </w:tcBorders>
        </w:tcPr>
        <w:p w:rsidR="00282488" w:rsidRPr="00D77FE5" w:rsidRDefault="00282488" w:rsidP="00462E77">
          <w:pPr>
            <w:pStyle w:val="NormalParagraphStyle"/>
            <w:jc w:val="center"/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</w:pP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</w:t>
          </w: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I</w:t>
          </w: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 xml:space="preserve"> Wydział Gospodarczy Krajowego Rejestru Sądowego, NIP: 522-000-20-38, REGON: 001236905</w:t>
          </w:r>
        </w:p>
      </w:tc>
    </w:tr>
  </w:tbl>
  <w:p w:rsidR="00E84CA9" w:rsidRPr="00D77FE5" w:rsidRDefault="00E84CA9" w:rsidP="00D77FE5">
    <w:pPr>
      <w:pStyle w:val="NormalParagraphStyle"/>
      <w:jc w:val="center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2B" w:rsidRDefault="0078732B" w:rsidP="0078732B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:rsidR="0078732B" w:rsidRPr="00D77FE5" w:rsidRDefault="0078732B" w:rsidP="0078732B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Plik </w:t>
    </w:r>
    <w:fldSimple w:instr=" FILENAME   \* MERGEFORMAT ">
      <w:r w:rsidRPr="00282488">
        <w:rPr>
          <w:rFonts w:ascii="MyriadPro-Regular" w:hAnsi="MyriadPro-Regular" w:cs="MyriadPro-Regular"/>
          <w:i/>
          <w:noProof/>
          <w:color w:val="595959"/>
          <w:spacing w:val="-4"/>
          <w:w w:val="90"/>
          <w:sz w:val="18"/>
          <w:szCs w:val="18"/>
        </w:rPr>
        <w:t>papier.doc</w:t>
      </w:r>
    </w:fldSimple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ab/>
      <w:t xml:space="preserve">Str. </w:t>
    </w:r>
    <w:r w:rsidR="00360E1C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begin"/>
    </w: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instrText xml:space="preserve"> PAGE   \* MERGEFORMAT </w:instrText>
    </w:r>
    <w:r w:rsidR="00360E1C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separate"/>
    </w:r>
    <w:r w:rsidR="00A56F75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1</w:t>
    </w:r>
    <w:r w:rsidR="00360E1C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end"/>
    </w: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 </w:t>
    </w:r>
    <w:r w:rsidRPr="00282488">
      <w:rPr>
        <w:rFonts w:ascii="MyriadPro-Regular" w:hAnsi="MyriadPro-Regular" w:cs="MyriadPro-Regular"/>
        <w:color w:val="595959"/>
        <w:spacing w:val="-4"/>
        <w:w w:val="90"/>
        <w:sz w:val="16"/>
        <w:szCs w:val="16"/>
      </w:rPr>
      <w:t xml:space="preserve">z </w:t>
    </w:r>
    <w:fldSimple w:instr=" NUMPAGES   \* MERGEFORMAT ">
      <w:r w:rsidR="00A56F75" w:rsidRPr="00A56F75">
        <w:rPr>
          <w:rFonts w:ascii="MyriadPro-Regular" w:hAnsi="MyriadPro-Regular" w:cs="MyriadPro-Regular"/>
          <w:noProof/>
          <w:color w:val="595959"/>
          <w:spacing w:val="-4"/>
          <w:w w:val="90"/>
          <w:sz w:val="16"/>
          <w:szCs w:val="16"/>
        </w:rPr>
        <w:t>3</w:t>
      </w:r>
    </w:fldSimple>
  </w:p>
  <w:tbl>
    <w:tblPr>
      <w:tblW w:w="11482" w:type="dxa"/>
      <w:tblInd w:w="-1064" w:type="dxa"/>
      <w:tblBorders>
        <w:top w:val="single" w:sz="4" w:space="0" w:color="auto"/>
      </w:tblBorders>
      <w:tblCellMar>
        <w:top w:w="28" w:type="dxa"/>
        <w:left w:w="70" w:type="dxa"/>
        <w:right w:w="70" w:type="dxa"/>
      </w:tblCellMar>
      <w:tblLook w:val="0000"/>
    </w:tblPr>
    <w:tblGrid>
      <w:gridCol w:w="11482"/>
    </w:tblGrid>
    <w:tr w:rsidR="0078732B" w:rsidRPr="00D77FE5" w:rsidTr="00462E77">
      <w:trPr>
        <w:trHeight w:val="170"/>
      </w:trPr>
      <w:tc>
        <w:tcPr>
          <w:tcW w:w="11482" w:type="dxa"/>
          <w:tcBorders>
            <w:top w:val="single" w:sz="6" w:space="0" w:color="808080"/>
          </w:tcBorders>
        </w:tcPr>
        <w:p w:rsidR="0078732B" w:rsidRPr="00D77FE5" w:rsidRDefault="0078732B" w:rsidP="00462E77">
          <w:pPr>
            <w:pStyle w:val="NormalParagraphStyle"/>
            <w:jc w:val="center"/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</w:pP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</w:t>
          </w: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I</w:t>
          </w: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 xml:space="preserve"> Wydział Gospodarczy Krajowego Rejestru Sądowego, NIP: 522-000-20-38, REGON: 001236905</w:t>
          </w:r>
        </w:p>
      </w:tc>
    </w:tr>
  </w:tbl>
  <w:p w:rsidR="0078732B" w:rsidRPr="00D77FE5" w:rsidRDefault="0078732B" w:rsidP="0078732B">
    <w:pPr>
      <w:pStyle w:val="NormalParagraphStyle"/>
      <w:jc w:val="center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:rsidR="0078732B" w:rsidRDefault="007873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62C" w:rsidRDefault="0053262C" w:rsidP="003564F9">
      <w:pPr>
        <w:spacing w:after="0" w:line="240" w:lineRule="auto"/>
      </w:pPr>
      <w:r>
        <w:separator/>
      </w:r>
    </w:p>
  </w:footnote>
  <w:footnote w:type="continuationSeparator" w:id="1">
    <w:p w:rsidR="0053262C" w:rsidRDefault="0053262C" w:rsidP="0035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A9" w:rsidRPr="000B2FAD" w:rsidRDefault="00282488" w:rsidP="000B2FAD">
    <w:pPr>
      <w:pStyle w:val="Nagwek"/>
      <w:pBdr>
        <w:bottom w:val="single" w:sz="4" w:space="1" w:color="auto"/>
      </w:pBdr>
      <w:tabs>
        <w:tab w:val="clear" w:pos="9072"/>
        <w:tab w:val="right" w:pos="9781"/>
      </w:tabs>
      <w:jc w:val="right"/>
      <w:rPr>
        <w:sz w:val="24"/>
        <w:szCs w:val="24"/>
      </w:rPr>
    </w:pPr>
    <w:r w:rsidRPr="000B2FAD">
      <w:rPr>
        <w:sz w:val="24"/>
        <w:szCs w:val="24"/>
      </w:rPr>
      <w:tab/>
    </w:r>
    <w:r w:rsidR="000B2FAD" w:rsidRPr="000B2FAD">
      <w:rPr>
        <w:rFonts w:ascii="Arial" w:eastAsia="Times New Roman" w:hAnsi="Arial" w:cs="Arial"/>
        <w:b/>
        <w:bCs/>
        <w:sz w:val="24"/>
        <w:szCs w:val="24"/>
        <w:lang w:eastAsia="pl-PL"/>
      </w:rPr>
      <w:t>Regulamin głosowań i wyborów na XI Zjeździe PTI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88" w:rsidRDefault="00EB41AC" w:rsidP="00282488">
    <w:pPr>
      <w:pStyle w:val="Nagwek"/>
      <w:spacing w:line="192" w:lineRule="auto"/>
      <w:jc w:val="center"/>
      <w:rPr>
        <w:rFonts w:ascii="Myriad Pro" w:hAnsi="Myriad Pro" w:cs="MyriadPro-Regular"/>
        <w:w w:val="9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-1249045</wp:posOffset>
          </wp:positionV>
          <wp:extent cx="7562850" cy="1533525"/>
          <wp:effectExtent l="19050" t="0" r="0" b="0"/>
          <wp:wrapNone/>
          <wp:docPr id="5" name="Obraz 5" descr="papier_frmowy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rmowy_blank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488" w:rsidRPr="003564F9">
      <w:rPr>
        <w:rFonts w:ascii="Myriad Pro" w:hAnsi="Myriad Pro" w:cs="MyriadPro-Regular"/>
        <w:w w:val="90"/>
        <w:sz w:val="18"/>
        <w:szCs w:val="18"/>
      </w:rPr>
      <w:t xml:space="preserve">Zarząd Główny, </w:t>
    </w:r>
    <w:r w:rsidR="00282488">
      <w:rPr>
        <w:rFonts w:ascii="Myriad Pro" w:hAnsi="Myriad Pro" w:cs="MyriadPro-Regular"/>
        <w:w w:val="90"/>
        <w:sz w:val="18"/>
        <w:szCs w:val="18"/>
      </w:rPr>
      <w:t>a</w:t>
    </w:r>
    <w:r w:rsidR="00282488" w:rsidRPr="003217C7">
      <w:rPr>
        <w:rFonts w:ascii="Myriad Pro" w:hAnsi="Myriad Pro" w:cs="MyriadPro-Regular"/>
        <w:w w:val="90"/>
        <w:sz w:val="18"/>
        <w:szCs w:val="18"/>
      </w:rPr>
      <w:t>l. Solidarności 82A</w:t>
    </w:r>
    <w:r w:rsidR="00282488">
      <w:rPr>
        <w:rFonts w:ascii="Myriad Pro" w:hAnsi="Myriad Pro" w:cs="MyriadPro-Regular"/>
        <w:w w:val="90"/>
        <w:sz w:val="18"/>
        <w:szCs w:val="18"/>
      </w:rPr>
      <w:t>/</w:t>
    </w:r>
    <w:r w:rsidR="00282488" w:rsidRPr="003217C7">
      <w:rPr>
        <w:rFonts w:ascii="Myriad Pro" w:hAnsi="Myriad Pro" w:cs="MyriadPro-Regular"/>
        <w:w w:val="90"/>
        <w:sz w:val="18"/>
        <w:szCs w:val="18"/>
      </w:rPr>
      <w:t>5, 01-003 Warszawa</w:t>
    </w:r>
    <w:r w:rsidR="00282488" w:rsidRPr="003564F9">
      <w:rPr>
        <w:rFonts w:ascii="Myriad Pro" w:hAnsi="Myriad Pro" w:cs="MyriadPro-Regular"/>
        <w:w w:val="90"/>
        <w:sz w:val="18"/>
        <w:szCs w:val="18"/>
      </w:rPr>
      <w:t>, tel.: + 48 22</w:t>
    </w:r>
    <w:r w:rsidR="00282488">
      <w:rPr>
        <w:rFonts w:ascii="Myriad Pro" w:hAnsi="Myriad Pro" w:cs="MyriadPro-Regular"/>
        <w:w w:val="90"/>
        <w:sz w:val="18"/>
        <w:szCs w:val="18"/>
      </w:rPr>
      <w:t xml:space="preserve"> 838 47 05, </w:t>
    </w:r>
    <w:r w:rsidR="00282488" w:rsidRPr="003564F9">
      <w:rPr>
        <w:rFonts w:ascii="Myriad Pro" w:hAnsi="Myriad Pro" w:cs="MyriadPro-Regular"/>
        <w:w w:val="90"/>
        <w:sz w:val="18"/>
        <w:szCs w:val="18"/>
      </w:rPr>
      <w:t>fa</w:t>
    </w:r>
    <w:r w:rsidR="00282488">
      <w:rPr>
        <w:rFonts w:ascii="Myriad Pro" w:hAnsi="Myriad Pro" w:cs="MyriadPro-Regular"/>
        <w:w w:val="90"/>
        <w:sz w:val="18"/>
        <w:szCs w:val="18"/>
      </w:rPr>
      <w:t>x</w:t>
    </w:r>
    <w:r w:rsidR="00282488" w:rsidRPr="003564F9">
      <w:rPr>
        <w:rFonts w:ascii="Myriad Pro" w:hAnsi="Myriad Pro" w:cs="MyriadPro-Regular"/>
        <w:w w:val="90"/>
        <w:sz w:val="18"/>
        <w:szCs w:val="18"/>
      </w:rPr>
      <w:t xml:space="preserve">: + 48 22 636 89 87, e-mail: pti@pti.org.pl, </w:t>
    </w:r>
    <w:hyperlink r:id="rId2" w:history="1">
      <w:r w:rsidR="00282488" w:rsidRPr="00A9612F">
        <w:rPr>
          <w:rStyle w:val="Hipercze"/>
          <w:rFonts w:ascii="Myriad Pro" w:hAnsi="Myriad Pro" w:cs="MyriadPro-Regular"/>
          <w:w w:val="90"/>
          <w:sz w:val="18"/>
          <w:szCs w:val="18"/>
        </w:rPr>
        <w:t>www.pti.org.pl</w:t>
      </w:r>
    </w:hyperlink>
  </w:p>
  <w:p w:rsidR="00282488" w:rsidRPr="003564F9" w:rsidRDefault="00282488" w:rsidP="00282488">
    <w:pPr>
      <w:pStyle w:val="Nagwek"/>
      <w:spacing w:before="20" w:line="192" w:lineRule="auto"/>
      <w:jc w:val="center"/>
    </w:pPr>
    <w:r>
      <w:rPr>
        <w:rFonts w:ascii="Myriad Pro" w:hAnsi="Myriad Pro" w:cs="MyriadPro-Regular"/>
        <w:w w:val="90"/>
        <w:sz w:val="18"/>
        <w:szCs w:val="18"/>
      </w:rPr>
      <w:t xml:space="preserve">Adres korespondencyjny: </w:t>
    </w:r>
    <w:r w:rsidRPr="003564F9">
      <w:rPr>
        <w:rFonts w:ascii="Myriad Pro" w:hAnsi="Myriad Pro" w:cs="MyriadPro-Regular"/>
        <w:w w:val="90"/>
        <w:sz w:val="18"/>
        <w:szCs w:val="18"/>
      </w:rPr>
      <w:t>ul. Puławska 39</w:t>
    </w:r>
    <w:r>
      <w:rPr>
        <w:rFonts w:ascii="Myriad Pro" w:hAnsi="Myriad Pro" w:cs="MyriadPro-Regular"/>
        <w:w w:val="90"/>
        <w:sz w:val="18"/>
        <w:szCs w:val="18"/>
      </w:rPr>
      <w:t>/</w:t>
    </w:r>
    <w:r w:rsidRPr="003564F9">
      <w:rPr>
        <w:rFonts w:ascii="Myriad Pro" w:hAnsi="Myriad Pro" w:cs="MyriadPro-Regular"/>
        <w:w w:val="90"/>
        <w:sz w:val="18"/>
        <w:szCs w:val="18"/>
      </w:rPr>
      <w:t>4, 02-508 Warszawa</w:t>
    </w:r>
    <w:r w:rsidRPr="003217C7">
      <w:rPr>
        <w:rFonts w:ascii="Myriad Pro" w:hAnsi="Myriad Pro" w:cs="MyriadPro-Regular"/>
        <w:w w:val="90"/>
        <w:sz w:val="18"/>
        <w:szCs w:val="18"/>
      </w:rPr>
      <w:t xml:space="preserve"> </w:t>
    </w:r>
  </w:p>
  <w:p w:rsidR="00282488" w:rsidRDefault="002824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40D"/>
    <w:multiLevelType w:val="hybridMultilevel"/>
    <w:tmpl w:val="08EEFFF2"/>
    <w:lvl w:ilvl="0" w:tplc="14F2F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64F9"/>
    <w:rsid w:val="000779FD"/>
    <w:rsid w:val="000B2FAD"/>
    <w:rsid w:val="00183DAE"/>
    <w:rsid w:val="001B0DB5"/>
    <w:rsid w:val="001C0B80"/>
    <w:rsid w:val="001F1921"/>
    <w:rsid w:val="0021077A"/>
    <w:rsid w:val="00282488"/>
    <w:rsid w:val="002C64FE"/>
    <w:rsid w:val="003217C7"/>
    <w:rsid w:val="0034486D"/>
    <w:rsid w:val="003512AB"/>
    <w:rsid w:val="003564F9"/>
    <w:rsid w:val="00360E1C"/>
    <w:rsid w:val="00397B30"/>
    <w:rsid w:val="003E448E"/>
    <w:rsid w:val="00462E77"/>
    <w:rsid w:val="004D012B"/>
    <w:rsid w:val="004E6C7A"/>
    <w:rsid w:val="005010CB"/>
    <w:rsid w:val="0053262C"/>
    <w:rsid w:val="0057746F"/>
    <w:rsid w:val="005E4E9E"/>
    <w:rsid w:val="006413FD"/>
    <w:rsid w:val="006643DC"/>
    <w:rsid w:val="006A1AC3"/>
    <w:rsid w:val="006F108B"/>
    <w:rsid w:val="0078732B"/>
    <w:rsid w:val="007A3206"/>
    <w:rsid w:val="007A701E"/>
    <w:rsid w:val="007F12E2"/>
    <w:rsid w:val="00882DB7"/>
    <w:rsid w:val="008D57E0"/>
    <w:rsid w:val="00991AFF"/>
    <w:rsid w:val="00993998"/>
    <w:rsid w:val="009D46D1"/>
    <w:rsid w:val="009F4EB0"/>
    <w:rsid w:val="00A56F75"/>
    <w:rsid w:val="00AF5D5B"/>
    <w:rsid w:val="00B05D12"/>
    <w:rsid w:val="00B068CA"/>
    <w:rsid w:val="00B40FCC"/>
    <w:rsid w:val="00C0614E"/>
    <w:rsid w:val="00C84140"/>
    <w:rsid w:val="00CC1E5F"/>
    <w:rsid w:val="00CD6278"/>
    <w:rsid w:val="00CF2242"/>
    <w:rsid w:val="00D453D7"/>
    <w:rsid w:val="00D77FE5"/>
    <w:rsid w:val="00DB6263"/>
    <w:rsid w:val="00E152DC"/>
    <w:rsid w:val="00E208B0"/>
    <w:rsid w:val="00E45A93"/>
    <w:rsid w:val="00E55897"/>
    <w:rsid w:val="00E565B8"/>
    <w:rsid w:val="00E84CA9"/>
    <w:rsid w:val="00E87D6A"/>
    <w:rsid w:val="00E91938"/>
    <w:rsid w:val="00EB41AC"/>
    <w:rsid w:val="00EB635E"/>
    <w:rsid w:val="00F63C15"/>
    <w:rsid w:val="00F83FE9"/>
    <w:rsid w:val="00FB6D27"/>
    <w:rsid w:val="00FE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F9"/>
  </w:style>
  <w:style w:type="paragraph" w:styleId="Stopka">
    <w:name w:val="footer"/>
    <w:basedOn w:val="Normalny"/>
    <w:link w:val="Stopka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F9"/>
  </w:style>
  <w:style w:type="paragraph" w:styleId="Tekstdymka">
    <w:name w:val="Balloon Text"/>
    <w:basedOn w:val="Normalny"/>
    <w:link w:val="TekstdymkaZnak"/>
    <w:uiPriority w:val="99"/>
    <w:semiHidden/>
    <w:unhideWhenUsed/>
    <w:rsid w:val="0035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64F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564F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ParagraphStyle">
    <w:name w:val="NormalParagraphStyle"/>
    <w:basedOn w:val="Noparagraphstyle"/>
    <w:uiPriority w:val="99"/>
    <w:rsid w:val="003564F9"/>
  </w:style>
  <w:style w:type="table" w:styleId="Tabela-Siatka">
    <w:name w:val="Table Grid"/>
    <w:basedOn w:val="Standardowy"/>
    <w:uiPriority w:val="59"/>
    <w:rsid w:val="00D77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E9193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A701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7A701E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ii-zjazd.pti.org.pl/wiki/Sprawy_organizacji_zjazdu_nadzwyczajne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ti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6449</CharactersWithSpaces>
  <SharedDoc>false</SharedDoc>
  <HLinks>
    <vt:vector size="6" baseType="variant"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>http://www.pti.org.pl/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Mirosław Abramowicz</cp:lastModifiedBy>
  <cp:revision>6</cp:revision>
  <cp:lastPrinted>2009-08-11T08:00:00Z</cp:lastPrinted>
  <dcterms:created xsi:type="dcterms:W3CDTF">2015-02-13T11:01:00Z</dcterms:created>
  <dcterms:modified xsi:type="dcterms:W3CDTF">2015-02-13T14:49:00Z</dcterms:modified>
</cp:coreProperties>
</file>